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A392B" w14:textId="51A0DDF8"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4B3D95">
        <w:rPr>
          <w:noProof w:val="0"/>
          <w:sz w:val="24"/>
          <w:szCs w:val="24"/>
        </w:rPr>
        <w:t>89</w:t>
      </w:r>
      <w:r w:rsidRPr="00F13757">
        <w:rPr>
          <w:bCs/>
          <w:noProof w:val="0"/>
          <w:sz w:val="24"/>
          <w:szCs w:val="24"/>
        </w:rPr>
        <w:tab/>
      </w:r>
      <w:r w:rsidR="00B91B42" w:rsidRPr="00B91B42">
        <w:rPr>
          <w:bCs/>
          <w:noProof w:val="0"/>
          <w:sz w:val="24"/>
          <w:szCs w:val="24"/>
        </w:rPr>
        <w:t>R1-1708558</w:t>
      </w:r>
    </w:p>
    <w:p w14:paraId="6FCBA6D1" w14:textId="372763EA" w:rsidR="00CD4C7B" w:rsidRPr="00F13757" w:rsidRDefault="004B3D95" w:rsidP="00CD4C7B">
      <w:pPr>
        <w:pStyle w:val="Header"/>
        <w:rPr>
          <w:bCs/>
          <w:noProof w:val="0"/>
          <w:sz w:val="24"/>
        </w:rPr>
      </w:pPr>
      <w:r w:rsidRPr="005C3D9C">
        <w:rPr>
          <w:noProof w:val="0"/>
          <w:sz w:val="24"/>
          <w:szCs w:val="24"/>
          <w:lang w:eastAsia="zh-CN"/>
        </w:rPr>
        <w:t xml:space="preserve">Hangzhou, </w:t>
      </w:r>
      <w:r w:rsidRPr="005C3D9C">
        <w:rPr>
          <w:rFonts w:hint="eastAsia"/>
          <w:noProof w:val="0"/>
          <w:sz w:val="24"/>
          <w:szCs w:val="24"/>
          <w:lang w:eastAsia="zh-CN"/>
        </w:rPr>
        <w:t>P.R. China</w:t>
      </w:r>
      <w:r w:rsidRPr="005C3D9C">
        <w:rPr>
          <w:noProof w:val="0"/>
          <w:sz w:val="24"/>
          <w:szCs w:val="24"/>
          <w:lang w:eastAsia="zh-CN"/>
        </w:rPr>
        <w:t xml:space="preserve"> </w:t>
      </w:r>
      <w:r w:rsidRPr="005C3D9C">
        <w:rPr>
          <w:rFonts w:hint="eastAsia"/>
          <w:noProof w:val="0"/>
          <w:sz w:val="24"/>
          <w:szCs w:val="24"/>
          <w:lang w:eastAsia="zh-CN"/>
        </w:rPr>
        <w:t xml:space="preserve">15th </w:t>
      </w:r>
      <w:r w:rsidRPr="005C3D9C">
        <w:rPr>
          <w:noProof w:val="0"/>
          <w:sz w:val="24"/>
          <w:szCs w:val="24"/>
          <w:lang w:eastAsia="zh-CN"/>
        </w:rPr>
        <w:t xml:space="preserve">– </w:t>
      </w:r>
      <w:r w:rsidRPr="005C3D9C">
        <w:rPr>
          <w:rFonts w:hint="eastAsia"/>
          <w:noProof w:val="0"/>
          <w:sz w:val="24"/>
          <w:szCs w:val="24"/>
          <w:lang w:eastAsia="zh-CN"/>
        </w:rPr>
        <w:t>19th</w:t>
      </w:r>
      <w:r w:rsidRPr="005C3D9C">
        <w:rPr>
          <w:noProof w:val="0"/>
          <w:sz w:val="24"/>
          <w:szCs w:val="24"/>
          <w:lang w:eastAsia="zh-CN"/>
        </w:rPr>
        <w:t xml:space="preserve"> </w:t>
      </w:r>
      <w:r w:rsidRPr="005C3D9C">
        <w:rPr>
          <w:rFonts w:hint="eastAsia"/>
          <w:noProof w:val="0"/>
          <w:sz w:val="24"/>
          <w:szCs w:val="24"/>
          <w:lang w:eastAsia="zh-CN"/>
        </w:rPr>
        <w:t>May</w:t>
      </w:r>
      <w:r w:rsidRPr="005C3D9C">
        <w:rPr>
          <w:noProof w:val="0"/>
          <w:sz w:val="24"/>
          <w:szCs w:val="24"/>
          <w:lang w:eastAsia="zh-CN"/>
        </w:rPr>
        <w:t xml:space="preserve"> 201</w:t>
      </w:r>
      <w:r w:rsidRPr="005C3D9C">
        <w:rPr>
          <w:rFonts w:hint="eastAsia"/>
          <w:noProof w:val="0"/>
          <w:sz w:val="24"/>
          <w:szCs w:val="24"/>
          <w:lang w:eastAsia="zh-CN"/>
        </w:rPr>
        <w:t>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34C683C5"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4B3D95" w:rsidRPr="004B3D95">
        <w:rPr>
          <w:rFonts w:ascii="Arial" w:hAnsi="Arial" w:cs="Arial"/>
          <w:b/>
          <w:bCs/>
          <w:sz w:val="24"/>
        </w:rPr>
        <w:t>Transmit diversity schemes for V2X PC5</w:t>
      </w:r>
    </w:p>
    <w:p w14:paraId="0B158026" w14:textId="7E265159"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sidR="004B3D95">
        <w:rPr>
          <w:rFonts w:ascii="Arial" w:hAnsi="Arial" w:cs="Arial"/>
          <w:b/>
          <w:bCs/>
          <w:sz w:val="24"/>
        </w:rPr>
        <w:t>6.2.3.2.1</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168C3BF1" w14:textId="5F2EA61C" w:rsidR="00095B45" w:rsidRDefault="00E8446A" w:rsidP="00E8446A">
      <w:pPr>
        <w:spacing w:after="0"/>
        <w:jc w:val="both"/>
        <w:rPr>
          <w:lang w:eastAsia="zh-CN"/>
        </w:rPr>
      </w:pPr>
      <w:r>
        <w:rPr>
          <w:rFonts w:eastAsiaTheme="minorEastAsia" w:cs="Arial" w:hint="eastAsia"/>
          <w:lang w:eastAsia="zh-CN"/>
        </w:rPr>
        <w:t>A n</w:t>
      </w:r>
      <w:r w:rsidRPr="00C27B29">
        <w:rPr>
          <w:rFonts w:cs="Arial"/>
          <w:lang w:eastAsia="zh-CN"/>
        </w:rPr>
        <w:t xml:space="preserve">ew WID on </w:t>
      </w:r>
      <w:r w:rsidRPr="00C27B29">
        <w:rPr>
          <w:rFonts w:cs="Arial" w:hint="eastAsia"/>
          <w:lang w:eastAsia="zh-CN"/>
        </w:rPr>
        <w:t>3GPP V2X Phase 2</w:t>
      </w:r>
      <w:r>
        <w:rPr>
          <w:rFonts w:eastAsiaTheme="minorEastAsia" w:cs="Arial" w:hint="eastAsia"/>
          <w:lang w:eastAsia="zh-CN"/>
        </w:rPr>
        <w:t xml:space="preserve"> was agreed in RAN meeting#75 </w:t>
      </w:r>
      <w:r w:rsidRPr="00C27B29">
        <w:rPr>
          <w:rFonts w:cs="Arial" w:hint="eastAsia"/>
          <w:lang w:eastAsia="zh-CN"/>
        </w:rPr>
        <w:t>[1]</w:t>
      </w:r>
      <w:r>
        <w:rPr>
          <w:rFonts w:cs="Arial"/>
          <w:lang w:eastAsia="zh-CN"/>
        </w:rPr>
        <w:t>, with the transmit diversity described as follows</w:t>
      </w:r>
      <w:r w:rsidR="00095B45">
        <w:rPr>
          <w:lang w:eastAsia="zh-CN"/>
        </w:rPr>
        <w:t>:</w:t>
      </w:r>
    </w:p>
    <w:p w14:paraId="104DC82A" w14:textId="77777777" w:rsidR="00E8446A" w:rsidRPr="00E8446A" w:rsidRDefault="00E8446A" w:rsidP="00E8446A">
      <w:pPr>
        <w:spacing w:after="0"/>
        <w:jc w:val="both"/>
        <w:rPr>
          <w:lang w:eastAsia="zh-CN"/>
        </w:rPr>
      </w:pPr>
    </w:p>
    <w:p w14:paraId="04FB26DD" w14:textId="67DCFFC4" w:rsidR="008D79DC" w:rsidRDefault="00E8446A" w:rsidP="00E8446A">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00095B45" w:rsidRPr="00615B1E">
        <w:rPr>
          <w:rFonts w:eastAsia="MS Mincho"/>
          <w:i/>
          <w:lang w:eastAsia="ja-JP"/>
        </w:rPr>
        <w:t>.</w:t>
      </w:r>
    </w:p>
    <w:p w14:paraId="7B0BE320" w14:textId="1B257F54" w:rsidR="00095B45" w:rsidRPr="00095B45" w:rsidRDefault="00095B45" w:rsidP="00312303">
      <w:pPr>
        <w:jc w:val="both"/>
        <w:rPr>
          <w:lang w:val="en-US" w:eastAsia="zh-CN"/>
        </w:rPr>
      </w:pPr>
      <w:r>
        <w:rPr>
          <w:rFonts w:hint="eastAsia"/>
          <w:lang w:eastAsia="zh-CN"/>
        </w:rPr>
        <w:t>In RAN1#88</w:t>
      </w:r>
      <w:r w:rsidR="00E8446A">
        <w:rPr>
          <w:lang w:eastAsia="zh-CN"/>
        </w:rPr>
        <w:t>bis</w:t>
      </w:r>
      <w:r>
        <w:rPr>
          <w:rFonts w:hint="eastAsia"/>
          <w:lang w:eastAsia="zh-CN"/>
        </w:rPr>
        <w:t xml:space="preserve">, </w:t>
      </w:r>
      <w:r>
        <w:rPr>
          <w:lang w:eastAsia="zh-CN"/>
        </w:rPr>
        <w:t xml:space="preserve">the </w:t>
      </w:r>
      <w:r w:rsidR="00E8446A">
        <w:rPr>
          <w:lang w:eastAsia="zh-CN"/>
        </w:rPr>
        <w:t xml:space="preserve">potential transmit diversity schemes were initially discussed and the </w:t>
      </w:r>
      <w:r>
        <w:rPr>
          <w:lang w:eastAsia="zh-CN"/>
        </w:rPr>
        <w:t xml:space="preserve">evaluation </w:t>
      </w:r>
      <w:r w:rsidR="00E8446A">
        <w:rPr>
          <w:lang w:eastAsia="zh-CN"/>
        </w:rPr>
        <w:t xml:space="preserve">conditions </w:t>
      </w:r>
      <w:r w:rsidR="00312303">
        <w:rPr>
          <w:lang w:eastAsia="zh-CN"/>
        </w:rPr>
        <w:t>were</w:t>
      </w:r>
      <w:r w:rsidR="006A1AD1">
        <w:rPr>
          <w:lang w:eastAsia="zh-CN"/>
        </w:rPr>
        <w:t xml:space="preserve"> discussed</w:t>
      </w:r>
      <w:r w:rsidR="00E8446A">
        <w:rPr>
          <w:lang w:eastAsia="zh-CN"/>
        </w:rPr>
        <w:t xml:space="preserve"> and</w:t>
      </w:r>
      <w:r w:rsidR="00312303">
        <w:rPr>
          <w:lang w:eastAsia="zh-CN"/>
        </w:rPr>
        <w:t xml:space="preserve"> agreed [2]. This paper</w:t>
      </w:r>
      <w:r w:rsidR="00E8446A">
        <w:rPr>
          <w:lang w:eastAsia="zh-CN"/>
        </w:rPr>
        <w:t xml:space="preserve"> discusses the potential transmit diversity schemes for PC5 operations</w:t>
      </w:r>
      <w:r w:rsidR="00312303">
        <w:rPr>
          <w:lang w:eastAsia="zh-CN"/>
        </w:rPr>
        <w:t xml:space="preserve">. The </w:t>
      </w:r>
      <w:r w:rsidR="00E8446A">
        <w:rPr>
          <w:lang w:eastAsia="zh-CN"/>
        </w:rPr>
        <w:t xml:space="preserve">initial evaluation </w:t>
      </w:r>
      <w:r w:rsidR="00312303">
        <w:rPr>
          <w:lang w:eastAsia="zh-CN"/>
        </w:rPr>
        <w:t xml:space="preserve">results </w:t>
      </w:r>
      <w:r w:rsidR="00E8446A">
        <w:rPr>
          <w:lang w:eastAsia="zh-CN"/>
        </w:rPr>
        <w:t xml:space="preserve">for the PC5 operations with transmit diversity </w:t>
      </w:r>
      <w:r w:rsidR="00312303">
        <w:rPr>
          <w:lang w:eastAsia="zh-CN"/>
        </w:rPr>
        <w:t>are presented in a companion paper [</w:t>
      </w:r>
      <w:r w:rsidR="00E8446A">
        <w:rPr>
          <w:lang w:eastAsia="zh-CN"/>
        </w:rPr>
        <w:t>3</w:t>
      </w:r>
      <w:r w:rsidR="00312303">
        <w:rPr>
          <w:lang w:eastAsia="zh-CN"/>
        </w:rPr>
        <w:t xml:space="preserve">]. </w:t>
      </w:r>
    </w:p>
    <w:p w14:paraId="68BDE175" w14:textId="32745224" w:rsidR="005F477A" w:rsidRDefault="00EA59D2" w:rsidP="005F477A">
      <w:pPr>
        <w:pStyle w:val="Heading1"/>
        <w:rPr>
          <w:lang w:val="en-US" w:eastAsia="zh-CN"/>
        </w:rPr>
      </w:pPr>
      <w:r w:rsidRPr="00F13757">
        <w:rPr>
          <w:lang w:val="en-US"/>
        </w:rPr>
        <w:t>2</w:t>
      </w:r>
      <w:r w:rsidRPr="00F13757">
        <w:rPr>
          <w:lang w:val="en-US"/>
        </w:rPr>
        <w:tab/>
      </w:r>
      <w:r w:rsidR="005948F4">
        <w:rPr>
          <w:lang w:val="en-US"/>
        </w:rPr>
        <w:t>General views</w:t>
      </w:r>
      <w:r w:rsidR="00516B77">
        <w:rPr>
          <w:lang w:val="en-US"/>
        </w:rPr>
        <w:t xml:space="preserve"> </w:t>
      </w:r>
    </w:p>
    <w:p w14:paraId="26C0C105" w14:textId="5364F8B1" w:rsidR="00AE197A" w:rsidRPr="003E1583" w:rsidRDefault="00CE0837" w:rsidP="00312303">
      <w:pPr>
        <w:spacing w:after="120"/>
        <w:jc w:val="both"/>
        <w:rPr>
          <w:lang w:eastAsia="zh-CN"/>
        </w:rPr>
      </w:pPr>
      <w:r w:rsidRPr="003E1583">
        <w:rPr>
          <w:rFonts w:hint="eastAsia"/>
          <w:lang w:eastAsia="zh-CN"/>
        </w:rPr>
        <w:t xml:space="preserve">For PSCCH, </w:t>
      </w:r>
      <w:r w:rsidRPr="003E1583">
        <w:rPr>
          <w:lang w:eastAsia="zh-CN"/>
        </w:rPr>
        <w:t>transparent transmit diversity scheme shall be used due to the requirement that it can be decoded by the legacy Rel-14 UEs. A straightforward transparent transmit diversity scheme is small-delay CDD</w:t>
      </w:r>
      <w:r w:rsidR="007A2163" w:rsidRPr="003E1583">
        <w:rPr>
          <w:lang w:eastAsia="zh-CN"/>
        </w:rPr>
        <w:t xml:space="preserve"> (SD-CDD)</w:t>
      </w:r>
      <w:r w:rsidRPr="003E1583">
        <w:rPr>
          <w:lang w:eastAsia="zh-CN"/>
        </w:rPr>
        <w:t>, where the transmit signals, including data signals and DMRS, on transmit antenna port 2 is cyclically delayed over the signals on transmit antenna port 1 with the cyclic delay within CP duration. The potential problem of this scheme is that since the cyclic delay is generally rather small (fraction of CP), the transmit diversity is present over a relatively lar</w:t>
      </w:r>
      <w:r w:rsidR="007A2163" w:rsidRPr="003E1583">
        <w:rPr>
          <w:lang w:eastAsia="zh-CN"/>
        </w:rPr>
        <w:t xml:space="preserve">ge transmission bandwidth, which is in contrast to the small bandwidth of PSCCH (2PRB). Anyway, the power gain of two transmit antennas can be achieved. </w:t>
      </w:r>
    </w:p>
    <w:p w14:paraId="7136A3BF" w14:textId="0CD410A1" w:rsidR="007A2163" w:rsidRPr="003E1583" w:rsidRDefault="007A2163" w:rsidP="00312303">
      <w:pPr>
        <w:spacing w:after="120"/>
        <w:jc w:val="both"/>
        <w:rPr>
          <w:lang w:eastAsia="zh-CN"/>
        </w:rPr>
      </w:pPr>
      <w:r w:rsidRPr="003E1583">
        <w:rPr>
          <w:lang w:eastAsia="zh-CN"/>
        </w:rPr>
        <w:t xml:space="preserve">For PSSCH, transparent or non-transparent transmit diversity scheme could be used to improve the link performance. The potential candidate transmit diversity schemes at least include SD-CDD, STBC, SFBC, PVS in time domain, as agreed in previous meeting for further evaluation. For the non-transparent transmit diversity schemes, the two transmit antenna ports are generally required to be estimated separately. In order to enable PSSCH RSRP measurement by legacy Rel-14 UEs with the impact as </w:t>
      </w:r>
      <w:r w:rsidR="000E6ADF" w:rsidRPr="003E1583">
        <w:rPr>
          <w:lang w:eastAsia="zh-CN"/>
        </w:rPr>
        <w:t>less</w:t>
      </w:r>
      <w:r w:rsidRPr="003E1583">
        <w:rPr>
          <w:lang w:eastAsia="zh-CN"/>
        </w:rPr>
        <w:t xml:space="preserve"> as possible, </w:t>
      </w:r>
      <w:r w:rsidR="000E6ADF" w:rsidRPr="003E1583">
        <w:rPr>
          <w:lang w:eastAsia="zh-CN"/>
        </w:rPr>
        <w:t>the DMRS of the two transmit antenna ports can be CDMed (i.e. with further cyclic shifting for the 2nd antenna port) with the DMRS of the 1st antenna port backward compatible.</w:t>
      </w:r>
    </w:p>
    <w:p w14:paraId="5F644074" w14:textId="545433C1" w:rsidR="00627E40" w:rsidRPr="003E1583" w:rsidRDefault="000E6ADF" w:rsidP="000E6ADF">
      <w:pPr>
        <w:spacing w:after="120"/>
        <w:jc w:val="both"/>
        <w:rPr>
          <w:lang w:eastAsia="zh-CN"/>
        </w:rPr>
      </w:pPr>
      <w:r w:rsidRPr="003E1583">
        <w:rPr>
          <w:lang w:eastAsia="zh-CN"/>
        </w:rPr>
        <w:t xml:space="preserve">This paper mainly focuses on the potential transmit diversity schemes for PSSCH, which is discussed in next section in details. </w:t>
      </w:r>
    </w:p>
    <w:p w14:paraId="1ADD7E3F" w14:textId="4DD180A7" w:rsidR="00627E40" w:rsidRDefault="00627E40" w:rsidP="00627E40">
      <w:pPr>
        <w:pStyle w:val="Heading1"/>
        <w:rPr>
          <w:lang w:val="en-US" w:eastAsia="zh-CN"/>
        </w:rPr>
      </w:pPr>
      <w:r>
        <w:rPr>
          <w:lang w:val="en-US"/>
        </w:rPr>
        <w:t>3</w:t>
      </w:r>
      <w:r w:rsidRPr="00F13757">
        <w:rPr>
          <w:lang w:val="en-US"/>
        </w:rPr>
        <w:tab/>
      </w:r>
      <w:r w:rsidR="005948F4">
        <w:rPr>
          <w:lang w:val="en-US" w:eastAsia="zh-CN"/>
        </w:rPr>
        <w:t>Potential transmit diversity schemes for PSSCH</w:t>
      </w:r>
    </w:p>
    <w:p w14:paraId="0B4AC73B" w14:textId="19F6E08A" w:rsidR="00627E40" w:rsidRPr="000E6ADF" w:rsidRDefault="000E6ADF" w:rsidP="000E6ADF">
      <w:pPr>
        <w:pStyle w:val="Heading2"/>
        <w:rPr>
          <w:lang w:val="en-US" w:eastAsia="zh-CN"/>
        </w:rPr>
      </w:pPr>
      <w:r>
        <w:rPr>
          <w:rFonts w:hint="eastAsia"/>
          <w:lang w:val="en-US" w:eastAsia="zh-CN"/>
        </w:rPr>
        <w:t xml:space="preserve">3.1 </w:t>
      </w:r>
      <w:r>
        <w:rPr>
          <w:lang w:val="en-US" w:eastAsia="zh-CN"/>
        </w:rPr>
        <w:t>Potential transmit diversity schemes</w:t>
      </w:r>
    </w:p>
    <w:p w14:paraId="65F8C389" w14:textId="6259DB62" w:rsidR="000C33CE" w:rsidRPr="0095411B" w:rsidRDefault="0095411B" w:rsidP="001715B6">
      <w:pPr>
        <w:jc w:val="both"/>
        <w:rPr>
          <w:sz w:val="21"/>
          <w:szCs w:val="21"/>
          <w:lang w:val="en-US" w:eastAsia="zh-CN"/>
        </w:rPr>
      </w:pPr>
      <w:r w:rsidRPr="003E1583">
        <w:rPr>
          <w:lang w:eastAsia="zh-CN"/>
        </w:rPr>
        <w:t xml:space="preserve">The potential transmit diversity schemes at least include STBC, SFBC, CDD, and PVS, as discussed in previous meeting. This section will discuss the details of these schemes and their advantages and disadvantages. </w:t>
      </w:r>
    </w:p>
    <w:p w14:paraId="33E5A38F" w14:textId="529FCA57" w:rsidR="000E6ADF" w:rsidRPr="008968AD" w:rsidRDefault="0079709C" w:rsidP="001715B6">
      <w:pPr>
        <w:jc w:val="both"/>
        <w:rPr>
          <w:sz w:val="21"/>
          <w:szCs w:val="21"/>
          <w:u w:val="single"/>
          <w:lang w:val="en-US" w:eastAsia="zh-CN"/>
        </w:rPr>
      </w:pPr>
      <w:r w:rsidRPr="008968AD">
        <w:rPr>
          <w:rFonts w:hint="eastAsia"/>
          <w:sz w:val="21"/>
          <w:szCs w:val="21"/>
          <w:u w:val="single"/>
          <w:lang w:val="en-US" w:eastAsia="zh-CN"/>
        </w:rPr>
        <w:t>STBC</w:t>
      </w:r>
    </w:p>
    <w:p w14:paraId="7AFB3009" w14:textId="30653D4F" w:rsidR="00B83AF8" w:rsidRPr="003E1583" w:rsidRDefault="009368F9" w:rsidP="001715B6">
      <w:pPr>
        <w:jc w:val="both"/>
        <w:rPr>
          <w:lang w:eastAsia="zh-CN"/>
        </w:rPr>
      </w:pPr>
      <w:r w:rsidRPr="003E1583">
        <w:rPr>
          <w:lang w:eastAsia="zh-CN"/>
        </w:rPr>
        <w:t xml:space="preserve">STBC is a common transmit diversity scheme that makes the encoding/mapping over two time symbols and two transmit antennas. Under the condition that the channel remains quasi-static over the two time symbols and spatially uncorrelated over the two transmit antennas, the full diversity gains could be achieved with low-complexity coherent combination detection (a.k.a. Alamouti combination). </w:t>
      </w:r>
    </w:p>
    <w:p w14:paraId="36EDD531" w14:textId="20302CF2" w:rsidR="009368F9" w:rsidRPr="003E1583" w:rsidRDefault="009368F9" w:rsidP="001715B6">
      <w:pPr>
        <w:jc w:val="both"/>
        <w:rPr>
          <w:lang w:eastAsia="zh-CN"/>
        </w:rPr>
      </w:pPr>
      <w:r w:rsidRPr="003E1583">
        <w:rPr>
          <w:lang w:eastAsia="zh-CN"/>
        </w:rPr>
        <w:lastRenderedPageBreak/>
        <w:t xml:space="preserve">With the DFT-precoding present, to keep the low-PAPR property, the STBC encoding could be made based on DFT-precoding output data blocks, as shown in Figure 1(a). </w:t>
      </w:r>
      <w:r w:rsidR="009F5CAD" w:rsidRPr="003E1583">
        <w:rPr>
          <w:lang w:eastAsia="zh-CN"/>
        </w:rPr>
        <w:t xml:space="preserve">In the context of V2X PC5 subframe, there are two mapping ways for STBC, as shown in Figure 1(b) and 1(c), denoted by STBC-1 and STBC-2, respectively. In STBC-1, STBC encoding is performed over the two data symbols on both sides of each DMRS symbol, while in STBC-2, STBC encoding is performed over the two adjacent data symbols. </w:t>
      </w:r>
    </w:p>
    <w:p w14:paraId="6D9E60D0" w14:textId="77458858" w:rsidR="009F5CAD" w:rsidRPr="003E1583" w:rsidRDefault="009F5CAD" w:rsidP="001715B6">
      <w:pPr>
        <w:jc w:val="both"/>
        <w:rPr>
          <w:lang w:eastAsia="zh-CN"/>
        </w:rPr>
      </w:pPr>
      <w:r w:rsidRPr="003E1583">
        <w:rPr>
          <w:lang w:eastAsia="zh-CN"/>
        </w:rPr>
        <w:t xml:space="preserve">In either of the STBC scheme, there is an orphan symbol (i.e. symbol#0 in STBC-1 and symbol#12 in STBC-2). For this </w:t>
      </w:r>
      <w:r w:rsidR="00E91637" w:rsidRPr="003E1583">
        <w:rPr>
          <w:lang w:eastAsia="zh-CN"/>
        </w:rPr>
        <w:t>orphan symbol, any of the transmit diversity schemes described below could be used.</w:t>
      </w:r>
    </w:p>
    <w:p w14:paraId="06209B7D" w14:textId="4E479CAD" w:rsidR="00B83AF8" w:rsidRDefault="00D72D81" w:rsidP="00B83AF8">
      <w:pPr>
        <w:jc w:val="center"/>
      </w:pPr>
      <w:r>
        <w:object w:dxaOrig="6908" w:dyaOrig="3488" w14:anchorId="27445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57.25pt" o:ole="">
            <v:imagedata r:id="rId8" o:title=""/>
          </v:shape>
          <o:OLEObject Type="Embed" ProgID="Visio.Drawing.11" ShapeID="_x0000_i1025" DrawAspect="Content" ObjectID="_1555496561" r:id="rId9"/>
        </w:object>
      </w:r>
    </w:p>
    <w:p w14:paraId="36D0B2AE" w14:textId="4612C3DB" w:rsidR="00B83AF8" w:rsidRDefault="00F32C73" w:rsidP="00F32C73">
      <w:pPr>
        <w:pStyle w:val="ListParagraph"/>
        <w:numPr>
          <w:ilvl w:val="0"/>
          <w:numId w:val="11"/>
        </w:numPr>
        <w:jc w:val="center"/>
      </w:pPr>
      <w:r>
        <w:rPr>
          <w:rFonts w:hint="eastAsia"/>
          <w:lang w:eastAsia="zh-CN"/>
        </w:rPr>
        <w:t>STBC encoding</w:t>
      </w:r>
    </w:p>
    <w:p w14:paraId="7F639F23" w14:textId="7C6BF362" w:rsidR="00B83AF8" w:rsidRDefault="00F73A9E" w:rsidP="00B83AF8">
      <w:pPr>
        <w:jc w:val="center"/>
      </w:pPr>
      <w:r>
        <w:object w:dxaOrig="5398" w:dyaOrig="2861" w14:anchorId="4C8BF410">
          <v:shape id="_x0000_i1026" type="#_x0000_t75" style="width:207.95pt;height:110.6pt" o:ole="">
            <v:imagedata r:id="rId10" o:title=""/>
          </v:shape>
          <o:OLEObject Type="Embed" ProgID="Visio.Drawing.11" ShapeID="_x0000_i1026" DrawAspect="Content" ObjectID="_1555496562" r:id="rId11"/>
        </w:object>
      </w:r>
      <w:r w:rsidR="00F32C73">
        <w:t xml:space="preserve">     </w:t>
      </w:r>
      <w:r>
        <w:object w:dxaOrig="5398" w:dyaOrig="2861" w14:anchorId="622F1556">
          <v:shape id="_x0000_i1027" type="#_x0000_t75" style="width:206.8pt;height:109.45pt" o:ole="">
            <v:imagedata r:id="rId12" o:title=""/>
          </v:shape>
          <o:OLEObject Type="Embed" ProgID="Visio.Drawing.11" ShapeID="_x0000_i1027" DrawAspect="Content" ObjectID="_1555496563" r:id="rId13"/>
        </w:object>
      </w:r>
    </w:p>
    <w:p w14:paraId="38F1CF9E" w14:textId="10ECD185" w:rsidR="00F32C73" w:rsidRDefault="00F32C73" w:rsidP="00F32C73">
      <w:pPr>
        <w:pStyle w:val="ListParagraph"/>
        <w:numPr>
          <w:ilvl w:val="0"/>
          <w:numId w:val="11"/>
        </w:numPr>
        <w:jc w:val="center"/>
      </w:pPr>
      <w:r>
        <w:rPr>
          <w:rFonts w:hint="eastAsia"/>
          <w:lang w:eastAsia="zh-CN"/>
        </w:rPr>
        <w:t>STBC-1</w:t>
      </w:r>
      <w:r>
        <w:rPr>
          <w:lang w:eastAsia="zh-CN"/>
        </w:rPr>
        <w:t xml:space="preserve">: over non-adjacent data symbols                       (c) </w:t>
      </w:r>
      <w:r>
        <w:rPr>
          <w:rFonts w:hint="eastAsia"/>
          <w:lang w:eastAsia="zh-CN"/>
        </w:rPr>
        <w:t>STBC-2</w:t>
      </w:r>
      <w:r>
        <w:rPr>
          <w:lang w:eastAsia="zh-CN"/>
        </w:rPr>
        <w:t>: over adjacent data symbols</w:t>
      </w:r>
    </w:p>
    <w:p w14:paraId="5648E0CB" w14:textId="77777777" w:rsidR="00F32C73" w:rsidRDefault="00F32C73" w:rsidP="00F32C73">
      <w:pPr>
        <w:pStyle w:val="ListParagraph"/>
        <w:ind w:left="360"/>
        <w:jc w:val="center"/>
        <w:rPr>
          <w:lang w:eastAsia="zh-CN"/>
        </w:rPr>
      </w:pPr>
    </w:p>
    <w:p w14:paraId="5DEBC502" w14:textId="733905BF" w:rsidR="00F32C73" w:rsidRPr="009F5CAD" w:rsidRDefault="00F32C73" w:rsidP="009F5CAD">
      <w:pPr>
        <w:pStyle w:val="ListParagraph"/>
        <w:ind w:left="360"/>
        <w:jc w:val="center"/>
      </w:pPr>
      <w:r>
        <w:rPr>
          <w:lang w:eastAsia="zh-CN"/>
        </w:rPr>
        <w:t>Figure 1: Illustration of STBC encoding and mapping</w:t>
      </w:r>
    </w:p>
    <w:p w14:paraId="116EC20F" w14:textId="6117656E" w:rsidR="00B83AF8" w:rsidRPr="004920AF" w:rsidRDefault="00B83AF8" w:rsidP="001715B6">
      <w:pPr>
        <w:jc w:val="both"/>
        <w:rPr>
          <w:sz w:val="21"/>
          <w:szCs w:val="21"/>
          <w:u w:val="single"/>
          <w:lang w:val="en-US" w:eastAsia="zh-CN"/>
        </w:rPr>
      </w:pPr>
      <w:r w:rsidRPr="004920AF">
        <w:rPr>
          <w:sz w:val="21"/>
          <w:szCs w:val="21"/>
          <w:u w:val="single"/>
          <w:lang w:val="en-US" w:eastAsia="zh-CN"/>
        </w:rPr>
        <w:t>SFBC</w:t>
      </w:r>
    </w:p>
    <w:p w14:paraId="7ADDC34E" w14:textId="77777777" w:rsidR="0046128A" w:rsidRPr="003E1583" w:rsidRDefault="00E91637" w:rsidP="001715B6">
      <w:pPr>
        <w:jc w:val="both"/>
        <w:rPr>
          <w:lang w:eastAsia="zh-CN"/>
        </w:rPr>
      </w:pPr>
      <w:r w:rsidRPr="003E1583">
        <w:rPr>
          <w:lang w:eastAsia="zh-CN"/>
        </w:rPr>
        <w:t xml:space="preserve">SFBC is also a common transmit diversity scheme which was adopted in LTE. The SFBC encoding is over two subcarriers, instead of over two time symbols in STBC. SFBC has generally two implementations in SC-FDMA system as shown in Figure 2(a) and 2(b), denoted by SFBC-1 and SFBC-2, respectively. </w:t>
      </w:r>
      <w:r w:rsidR="0046128A" w:rsidRPr="003E1583">
        <w:rPr>
          <w:lang w:eastAsia="zh-CN"/>
        </w:rPr>
        <w:t xml:space="preserve">These two SFBC schemes have inverse properties: </w:t>
      </w:r>
    </w:p>
    <w:p w14:paraId="2EF5AEE4" w14:textId="289A733C" w:rsidR="00B83AF8" w:rsidRPr="003E1583" w:rsidRDefault="0046128A" w:rsidP="0046128A">
      <w:pPr>
        <w:pStyle w:val="ListParagraph"/>
        <w:numPr>
          <w:ilvl w:val="0"/>
          <w:numId w:val="13"/>
        </w:numPr>
        <w:jc w:val="both"/>
        <w:rPr>
          <w:lang w:eastAsia="zh-CN"/>
        </w:rPr>
      </w:pPr>
      <w:r w:rsidRPr="003E1583">
        <w:rPr>
          <w:lang w:eastAsia="zh-CN"/>
        </w:rPr>
        <w:t xml:space="preserve">SFBC-1 makes the encoding over adjacent subcarriers, so better diversity gains could be achieved with low-complexity detection. Its potential problem is its unbalanced PAPRs on the two antennas (TX2 PAPR is slightly larger than TX1). </w:t>
      </w:r>
    </w:p>
    <w:p w14:paraId="418C8597" w14:textId="5CBC891D" w:rsidR="00E91637" w:rsidRPr="003E1583" w:rsidRDefault="0046128A" w:rsidP="001715B6">
      <w:pPr>
        <w:pStyle w:val="ListParagraph"/>
        <w:numPr>
          <w:ilvl w:val="0"/>
          <w:numId w:val="13"/>
        </w:numPr>
        <w:jc w:val="both"/>
        <w:rPr>
          <w:lang w:eastAsia="zh-CN"/>
        </w:rPr>
      </w:pPr>
      <w:r w:rsidRPr="003E1583">
        <w:rPr>
          <w:lang w:eastAsia="zh-CN"/>
        </w:rPr>
        <w:t>SFBC-2 was proposed in [4] to address the PAPR issue in SFBC-1. However, SFBC-2 makes the encoding over non-adjacent subcarri</w:t>
      </w:r>
      <w:r w:rsidR="004920AF" w:rsidRPr="003E1583">
        <w:rPr>
          <w:lang w:eastAsia="zh-CN"/>
        </w:rPr>
        <w:t>ers with the subcarrier spacing up to M/2, where M denotes the number of allocated subcarriers for transmission. Thus, the channels over the two subcarriers are generally not quasi-static, which may degrade the link performance even with complicated detector. Actually, without quasi-static channel assumption, the specific Alamouti encoding makes little sense.</w:t>
      </w:r>
    </w:p>
    <w:p w14:paraId="39583A6D" w14:textId="1596454A" w:rsidR="00E1514A" w:rsidRDefault="00D72D81" w:rsidP="00E1514A">
      <w:pPr>
        <w:jc w:val="center"/>
      </w:pPr>
      <w:r>
        <w:object w:dxaOrig="7898" w:dyaOrig="2181" w14:anchorId="55D10AF6">
          <v:shape id="_x0000_i1028" type="#_x0000_t75" style="width:364.6pt;height:100.8pt" o:ole="">
            <v:imagedata r:id="rId14" o:title=""/>
          </v:shape>
          <o:OLEObject Type="Embed" ProgID="Visio.Drawing.11" ShapeID="_x0000_i1028" DrawAspect="Content" ObjectID="_1555496564" r:id="rId15"/>
        </w:object>
      </w:r>
    </w:p>
    <w:p w14:paraId="412E8DAD" w14:textId="27E304A8" w:rsidR="00E1514A" w:rsidRDefault="00D72D81" w:rsidP="00E1514A">
      <w:pPr>
        <w:pStyle w:val="ListParagraph"/>
        <w:numPr>
          <w:ilvl w:val="0"/>
          <w:numId w:val="12"/>
        </w:numPr>
        <w:jc w:val="center"/>
      </w:pPr>
      <w:r>
        <w:rPr>
          <w:lang w:eastAsia="zh-CN"/>
        </w:rPr>
        <w:t>SFBC-1: over adjacent subcarriers</w:t>
      </w:r>
    </w:p>
    <w:p w14:paraId="2FF697D9" w14:textId="77777777" w:rsidR="00E1514A" w:rsidRDefault="00E1514A" w:rsidP="00E1514A">
      <w:pPr>
        <w:pStyle w:val="ListParagraph"/>
        <w:ind w:left="360"/>
        <w:rPr>
          <w:lang w:eastAsia="zh-CN"/>
        </w:rPr>
      </w:pPr>
    </w:p>
    <w:p w14:paraId="222C199B" w14:textId="26D8DB91" w:rsidR="00E1514A" w:rsidRDefault="00D72D81" w:rsidP="00D72D81">
      <w:pPr>
        <w:pStyle w:val="ListParagraph"/>
        <w:ind w:left="360"/>
        <w:jc w:val="center"/>
      </w:pPr>
      <w:r>
        <w:object w:dxaOrig="10217" w:dyaOrig="2301" w14:anchorId="55327639">
          <v:shape id="_x0000_i1029" type="#_x0000_t75" style="width:459.65pt;height:103.7pt" o:ole="">
            <v:imagedata r:id="rId16" o:title=""/>
          </v:shape>
          <o:OLEObject Type="Embed" ProgID="Visio.Drawing.11" ShapeID="_x0000_i1029" DrawAspect="Content" ObjectID="_1555496565" r:id="rId17"/>
        </w:object>
      </w:r>
    </w:p>
    <w:p w14:paraId="4C51014E" w14:textId="5888B706" w:rsidR="00E1514A" w:rsidRDefault="00D72D81" w:rsidP="00E1514A">
      <w:pPr>
        <w:pStyle w:val="ListParagraph"/>
        <w:numPr>
          <w:ilvl w:val="0"/>
          <w:numId w:val="12"/>
        </w:numPr>
        <w:jc w:val="center"/>
      </w:pPr>
      <w:r>
        <w:rPr>
          <w:lang w:eastAsia="zh-CN"/>
        </w:rPr>
        <w:t>SFBC-2: over non-adjacent subcarriers</w:t>
      </w:r>
    </w:p>
    <w:p w14:paraId="36D4BA0E" w14:textId="29733BB6" w:rsidR="00F32C73" w:rsidRDefault="00E1514A" w:rsidP="001C5E7D">
      <w:pPr>
        <w:jc w:val="center"/>
        <w:rPr>
          <w:lang w:val="en-US" w:eastAsia="zh-CN"/>
        </w:rPr>
      </w:pPr>
      <w:r>
        <w:t>Figure 2:</w:t>
      </w:r>
      <w:r w:rsidR="00D72D81">
        <w:t xml:space="preserve"> </w:t>
      </w:r>
      <w:r w:rsidR="00D72D81">
        <w:rPr>
          <w:lang w:eastAsia="zh-CN"/>
        </w:rPr>
        <w:t>Illustration of SFBC encoding and mapping</w:t>
      </w:r>
    </w:p>
    <w:p w14:paraId="44C67D0C" w14:textId="77777777" w:rsidR="001C5E7D" w:rsidRPr="001C5E7D" w:rsidRDefault="001C5E7D" w:rsidP="001C5E7D">
      <w:pPr>
        <w:jc w:val="center"/>
        <w:rPr>
          <w:lang w:val="en-US" w:eastAsia="zh-CN"/>
        </w:rPr>
      </w:pPr>
    </w:p>
    <w:p w14:paraId="0693764A" w14:textId="24D9B38A" w:rsidR="00B83AF8" w:rsidRDefault="00B83AF8" w:rsidP="001715B6">
      <w:pPr>
        <w:jc w:val="both"/>
        <w:rPr>
          <w:u w:val="single"/>
          <w:lang w:val="en-US" w:eastAsia="zh-CN"/>
        </w:rPr>
      </w:pPr>
      <w:r w:rsidRPr="00B83AF8">
        <w:rPr>
          <w:u w:val="single"/>
          <w:lang w:val="en-US" w:eastAsia="zh-CN"/>
        </w:rPr>
        <w:t>CDD</w:t>
      </w:r>
    </w:p>
    <w:p w14:paraId="4EC979B1" w14:textId="7B9BEED0" w:rsidR="00B83AF8" w:rsidRPr="003E1583" w:rsidRDefault="00AF6379" w:rsidP="001715B6">
      <w:pPr>
        <w:jc w:val="both"/>
        <w:rPr>
          <w:lang w:val="en-US" w:eastAsia="zh-CN"/>
        </w:rPr>
      </w:pPr>
      <w:r w:rsidRPr="003E1583">
        <w:rPr>
          <w:rFonts w:hint="eastAsia"/>
          <w:lang w:val="en-US" w:eastAsia="zh-CN"/>
        </w:rPr>
        <w:t xml:space="preserve">CDD </w:t>
      </w:r>
      <w:r w:rsidR="00F73387" w:rsidRPr="003E1583">
        <w:rPr>
          <w:lang w:val="en-US" w:eastAsia="zh-CN"/>
        </w:rPr>
        <w:t>is implemented by introducing cyclic delay on the second transmit antenna, which is equivalent to creating an artificial multipath from the second transmit antenna. Thus, if the multi-transmit antenna channels are uncorrelated, some diversity could be achieved over the used frequency resource. CDD can be further divided into two types</w:t>
      </w:r>
    </w:p>
    <w:p w14:paraId="2F055BB5" w14:textId="0440973F" w:rsidR="00F73387" w:rsidRPr="003E1583" w:rsidRDefault="00F73387" w:rsidP="00F73387">
      <w:pPr>
        <w:pStyle w:val="ListParagraph"/>
        <w:numPr>
          <w:ilvl w:val="0"/>
          <w:numId w:val="14"/>
        </w:numPr>
        <w:jc w:val="both"/>
        <w:rPr>
          <w:lang w:val="en-US" w:eastAsia="zh-CN"/>
        </w:rPr>
      </w:pPr>
      <w:r w:rsidRPr="003E1583">
        <w:rPr>
          <w:rFonts w:hint="eastAsia"/>
          <w:lang w:val="en-US" w:eastAsia="zh-CN"/>
        </w:rPr>
        <w:t>Large-delay CDD</w:t>
      </w:r>
      <w:r w:rsidR="00802C71" w:rsidRPr="003E1583">
        <w:rPr>
          <w:lang w:val="en-US" w:eastAsia="zh-CN"/>
        </w:rPr>
        <w:t xml:space="preserve"> (LD-CDD)</w:t>
      </w:r>
      <w:r w:rsidRPr="003E1583">
        <w:rPr>
          <w:lang w:val="en-US" w:eastAsia="zh-CN"/>
        </w:rPr>
        <w:t xml:space="preserve">: the cyclic delay is generally larger than CP length, e.g. half of the symbol duration. Thus, the channels from the two transmit antennas shall be estimated separately. </w:t>
      </w:r>
    </w:p>
    <w:p w14:paraId="50B2CDE6" w14:textId="3CF704D5" w:rsidR="00F73387" w:rsidRPr="003E1583" w:rsidRDefault="00F73387" w:rsidP="00F73387">
      <w:pPr>
        <w:pStyle w:val="ListParagraph"/>
        <w:numPr>
          <w:ilvl w:val="0"/>
          <w:numId w:val="14"/>
        </w:numPr>
        <w:jc w:val="both"/>
        <w:rPr>
          <w:lang w:val="en-US" w:eastAsia="zh-CN"/>
        </w:rPr>
      </w:pPr>
      <w:r w:rsidRPr="003E1583">
        <w:rPr>
          <w:lang w:val="en-US" w:eastAsia="zh-CN"/>
        </w:rPr>
        <w:t>Small-delay CDD</w:t>
      </w:r>
      <w:r w:rsidR="00802C71" w:rsidRPr="003E1583">
        <w:rPr>
          <w:lang w:val="en-US" w:eastAsia="zh-CN"/>
        </w:rPr>
        <w:t xml:space="preserve"> (SD-CDD)</w:t>
      </w:r>
      <w:r w:rsidRPr="003E1583">
        <w:rPr>
          <w:lang w:val="en-US" w:eastAsia="zh-CN"/>
        </w:rPr>
        <w:t xml:space="preserve">: the cyclic delay is generally fraction of CP length. Thus, the SD-CDD is transparent to the receivers and only </w:t>
      </w:r>
      <w:r w:rsidR="001C5E7D" w:rsidRPr="003E1583">
        <w:rPr>
          <w:lang w:val="en-US" w:eastAsia="zh-CN"/>
        </w:rPr>
        <w:t xml:space="preserve">the channels from the </w:t>
      </w:r>
      <w:r w:rsidRPr="003E1583">
        <w:rPr>
          <w:lang w:val="en-US" w:eastAsia="zh-CN"/>
        </w:rPr>
        <w:t xml:space="preserve">single </w:t>
      </w:r>
      <w:r w:rsidR="001C5E7D" w:rsidRPr="003E1583">
        <w:rPr>
          <w:lang w:val="en-US" w:eastAsia="zh-CN"/>
        </w:rPr>
        <w:t xml:space="preserve">transmit antenna port are needed to estimate. </w:t>
      </w:r>
    </w:p>
    <w:p w14:paraId="5B8F7415" w14:textId="6A3F8059" w:rsidR="001C5E7D" w:rsidRDefault="001C5E7D" w:rsidP="001715B6">
      <w:pPr>
        <w:jc w:val="both"/>
        <w:rPr>
          <w:lang w:val="en-US" w:eastAsia="zh-CN"/>
        </w:rPr>
      </w:pPr>
      <w:r>
        <w:rPr>
          <w:rFonts w:hint="eastAsia"/>
          <w:lang w:val="en-US" w:eastAsia="zh-CN"/>
        </w:rPr>
        <w:t xml:space="preserve">Note that in principle, LD-CDD may provide larger diversity gain (especially within narrow bandwidth), but </w:t>
      </w:r>
      <w:r>
        <w:rPr>
          <w:lang w:val="en-US" w:eastAsia="zh-CN"/>
        </w:rPr>
        <w:t xml:space="preserve">the channel estimation performance is generally worse than that in SD-CDD given the same resource for DMRS of the antenna port(s). Hence, there is a balance between the diversity gains and channel estimation. </w:t>
      </w:r>
    </w:p>
    <w:p w14:paraId="212BD410" w14:textId="77777777" w:rsidR="001C5E7D" w:rsidRPr="001C5E7D" w:rsidRDefault="001C5E7D" w:rsidP="001715B6">
      <w:pPr>
        <w:jc w:val="both"/>
        <w:rPr>
          <w:lang w:val="en-US" w:eastAsia="zh-CN"/>
        </w:rPr>
      </w:pPr>
    </w:p>
    <w:p w14:paraId="224E5CDC" w14:textId="67BFF418" w:rsidR="00B83AF8" w:rsidRDefault="00B83AF8" w:rsidP="001715B6">
      <w:pPr>
        <w:jc w:val="both"/>
        <w:rPr>
          <w:u w:val="single"/>
          <w:lang w:val="en-US" w:eastAsia="zh-CN"/>
        </w:rPr>
      </w:pPr>
      <w:r w:rsidRPr="00B83AF8">
        <w:rPr>
          <w:u w:val="single"/>
          <w:lang w:val="en-US" w:eastAsia="zh-CN"/>
        </w:rPr>
        <w:t>PVS</w:t>
      </w:r>
    </w:p>
    <w:p w14:paraId="5C09253D" w14:textId="58E26E17" w:rsidR="00B83AF8" w:rsidRPr="003E1583" w:rsidRDefault="001C5E7D" w:rsidP="001715B6">
      <w:pPr>
        <w:jc w:val="both"/>
        <w:rPr>
          <w:lang w:val="en-US" w:eastAsia="zh-CN"/>
        </w:rPr>
      </w:pPr>
      <w:r w:rsidRPr="003E1583">
        <w:rPr>
          <w:lang w:val="en-US" w:eastAsia="zh-CN"/>
        </w:rPr>
        <w:t>In PVS, open-loop precoding vector switching is used in time and/or frequency domain to change the equivalent channels during</w:t>
      </w:r>
      <w:r w:rsidR="00A90217" w:rsidRPr="003E1583">
        <w:rPr>
          <w:lang w:val="en-US" w:eastAsia="zh-CN"/>
        </w:rPr>
        <w:t xml:space="preserve"> the data </w:t>
      </w:r>
      <w:r w:rsidRPr="003E1583">
        <w:rPr>
          <w:lang w:val="en-US" w:eastAsia="zh-CN"/>
        </w:rPr>
        <w:t>transmission</w:t>
      </w:r>
      <w:r w:rsidR="00A90217" w:rsidRPr="003E1583">
        <w:rPr>
          <w:lang w:val="en-US" w:eastAsia="zh-CN"/>
        </w:rPr>
        <w:t xml:space="preserve">, thus achieves diversity gains in the packet transmission. Generally, the PVS can be used in time per data SC-FDMA symbol within the V2X subframe, e.g. precoder cycling within the precoder sets {[1, 1], [1, -1], [1, j], [1, -j]} (here the normalization factor is not shown). In this way, the SC-FDMA property of each data symbol is not destroyed and the PAPR is not impacted. </w:t>
      </w:r>
    </w:p>
    <w:p w14:paraId="01A650E2" w14:textId="319FCE99" w:rsidR="00A90217" w:rsidRPr="003E1583" w:rsidRDefault="00A90217" w:rsidP="001715B6">
      <w:pPr>
        <w:jc w:val="both"/>
        <w:rPr>
          <w:lang w:val="en-US" w:eastAsia="zh-CN"/>
        </w:rPr>
      </w:pPr>
      <w:r w:rsidRPr="003E1583">
        <w:rPr>
          <w:lang w:val="en-US" w:eastAsia="zh-CN"/>
        </w:rPr>
        <w:t>PVS can also be used in frequency per subcarrier and keep the low PAPR of the transmit signals meanwhile. To achieve this, the precoder cycling shall be implemented in an appropriate way, e.g., cycling in the order of {[1, 1], [1, j], [1, -1], [1, -j]}</w:t>
      </w:r>
      <w:r w:rsidR="00802C71" w:rsidRPr="003E1583">
        <w:rPr>
          <w:lang w:val="en-US" w:eastAsia="zh-CN"/>
        </w:rPr>
        <w:t xml:space="preserve"> or the reverse order. </w:t>
      </w:r>
    </w:p>
    <w:p w14:paraId="0DB81D97" w14:textId="355E7879" w:rsidR="001C5E7D" w:rsidRPr="00802C71" w:rsidRDefault="00802C71" w:rsidP="001715B6">
      <w:pPr>
        <w:jc w:val="both"/>
        <w:rPr>
          <w:lang w:val="en-US" w:eastAsia="zh-CN"/>
        </w:rPr>
      </w:pPr>
      <w:r w:rsidRPr="003E1583">
        <w:rPr>
          <w:lang w:val="en-US" w:eastAsia="zh-CN"/>
        </w:rPr>
        <w:t xml:space="preserve">The PVS can also be implemented in both time (e.g. per data symbol) and frequency (e.g. per subcarrier), by simple element-wise production of the cycled precoders in time domain and frequency domain.  </w:t>
      </w:r>
    </w:p>
    <w:p w14:paraId="7A69B170" w14:textId="77777777" w:rsidR="008968AD" w:rsidRPr="00802C71" w:rsidRDefault="008968AD" w:rsidP="001715B6">
      <w:pPr>
        <w:jc w:val="both"/>
        <w:rPr>
          <w:lang w:val="en-US" w:eastAsia="zh-CN"/>
        </w:rPr>
      </w:pPr>
    </w:p>
    <w:p w14:paraId="4A0422B2" w14:textId="3B4EFDA2" w:rsidR="00B83AF8" w:rsidRDefault="00B83AF8" w:rsidP="001715B6">
      <w:pPr>
        <w:jc w:val="both"/>
        <w:rPr>
          <w:u w:val="single"/>
          <w:lang w:val="en-US" w:eastAsia="zh-CN"/>
        </w:rPr>
      </w:pPr>
      <w:r>
        <w:rPr>
          <w:rFonts w:hint="eastAsia"/>
          <w:u w:val="single"/>
          <w:lang w:val="en-US" w:eastAsia="zh-CN"/>
        </w:rPr>
        <w:t>FSTD</w:t>
      </w:r>
      <w:r w:rsidR="00BD3CFB">
        <w:rPr>
          <w:u w:val="single"/>
          <w:lang w:val="en-US" w:eastAsia="zh-CN"/>
        </w:rPr>
        <w:t xml:space="preserve"> with dual DFT-precoding</w:t>
      </w:r>
    </w:p>
    <w:p w14:paraId="60651228" w14:textId="272F49C7" w:rsidR="00BD3CFB" w:rsidRPr="003E1583" w:rsidRDefault="00964DA3" w:rsidP="001715B6">
      <w:pPr>
        <w:jc w:val="both"/>
        <w:rPr>
          <w:lang w:val="en-US" w:eastAsia="zh-CN"/>
        </w:rPr>
      </w:pPr>
      <w:r w:rsidRPr="003E1583">
        <w:rPr>
          <w:lang w:val="en-US" w:eastAsia="zh-CN"/>
        </w:rPr>
        <w:t xml:space="preserve">Except the above transmit diversity schemes, another potential transmit diversity scheme, </w:t>
      </w:r>
      <w:r w:rsidR="0000276B" w:rsidRPr="003E1583">
        <w:rPr>
          <w:lang w:val="en-US" w:eastAsia="zh-CN"/>
        </w:rPr>
        <w:t xml:space="preserve">frequency-switching transmit diversity (FSTD) </w:t>
      </w:r>
      <w:r w:rsidRPr="003E1583">
        <w:rPr>
          <w:lang w:val="en-US" w:eastAsia="zh-CN"/>
        </w:rPr>
        <w:t xml:space="preserve">with dual DFT-precoding, is also evaluated. Figure 3 shows the processing of the scheme. The data </w:t>
      </w:r>
      <w:r w:rsidRPr="003E1583">
        <w:rPr>
          <w:lang w:val="en-US" w:eastAsia="zh-CN"/>
        </w:rPr>
        <w:lastRenderedPageBreak/>
        <w:t>symbol vector with size M are divided into two parts, and each part</w:t>
      </w:r>
      <w:r w:rsidR="0000276B" w:rsidRPr="003E1583">
        <w:rPr>
          <w:lang w:val="en-US" w:eastAsia="zh-CN"/>
        </w:rPr>
        <w:t xml:space="preserve"> goes through M/2-point DFT-precoding and then, the DFT-precoding output of first part is mapped to the even-numbered subcarriers of transmit antenna port 1 while the second part is mapped to the odd-numbered subcarriers of transmit antenna port 2. </w:t>
      </w:r>
    </w:p>
    <w:p w14:paraId="5C2E1EC6" w14:textId="3EDF9638" w:rsidR="0000276B" w:rsidRPr="003E1583" w:rsidRDefault="0000276B" w:rsidP="001715B6">
      <w:pPr>
        <w:jc w:val="both"/>
        <w:rPr>
          <w:lang w:val="en-US" w:eastAsia="zh-CN"/>
        </w:rPr>
      </w:pPr>
      <w:r w:rsidRPr="003E1583">
        <w:rPr>
          <w:lang w:val="en-US" w:eastAsia="zh-CN"/>
        </w:rPr>
        <w:t xml:space="preserve">The benefits of this scheme lie in two aspects: 1) the transmit signals have lower PAPR than single antenna case; 2) the data detection can be flexibly based on whole symbol or half-symbol. The flexibility may make it suitable for the first symbol (e.g. the orphan symbol in Figure 1(b)) where the distortion caused by AGC handling in first half symbol duration can be avoided with half-symbol based data detection. </w:t>
      </w:r>
    </w:p>
    <w:p w14:paraId="6B813B04" w14:textId="77777777" w:rsidR="00802C71" w:rsidRDefault="00802C71" w:rsidP="001715B6">
      <w:pPr>
        <w:jc w:val="both"/>
        <w:rPr>
          <w:u w:val="single"/>
          <w:lang w:val="en-US" w:eastAsia="zh-CN"/>
        </w:rPr>
      </w:pPr>
    </w:p>
    <w:p w14:paraId="589E323C" w14:textId="5ED94019" w:rsidR="00B83AF8" w:rsidRDefault="0095411B" w:rsidP="0095411B">
      <w:pPr>
        <w:jc w:val="center"/>
      </w:pPr>
      <w:r>
        <w:object w:dxaOrig="7413" w:dyaOrig="3173" w14:anchorId="76E7355F">
          <v:shape id="_x0000_i1030" type="#_x0000_t75" style="width:325.45pt;height:139.4pt" o:ole="">
            <v:imagedata r:id="rId18" o:title=""/>
          </v:shape>
          <o:OLEObject Type="Embed" ProgID="Visio.Drawing.11" ShapeID="_x0000_i1030" DrawAspect="Content" ObjectID="_1555496566" r:id="rId19"/>
        </w:object>
      </w:r>
    </w:p>
    <w:p w14:paraId="4F7CDBEB" w14:textId="1C9A9DE3" w:rsidR="0095411B" w:rsidRPr="00B83AF8" w:rsidRDefault="0095411B" w:rsidP="0095411B">
      <w:pPr>
        <w:jc w:val="center"/>
        <w:rPr>
          <w:lang w:val="en-US" w:eastAsia="zh-CN"/>
        </w:rPr>
      </w:pPr>
      <w:r>
        <w:t>F</w:t>
      </w:r>
      <w:r>
        <w:rPr>
          <w:rFonts w:hint="eastAsia"/>
          <w:lang w:eastAsia="zh-CN"/>
        </w:rPr>
        <w:t xml:space="preserve">igure </w:t>
      </w:r>
      <w:r>
        <w:rPr>
          <w:lang w:eastAsia="zh-CN"/>
        </w:rPr>
        <w:t xml:space="preserve">3: </w:t>
      </w:r>
      <w:r w:rsidR="0000276B">
        <w:rPr>
          <w:lang w:eastAsia="zh-CN"/>
        </w:rPr>
        <w:t>Illustration of processing for FSTD with dual DFT-precoding</w:t>
      </w:r>
    </w:p>
    <w:p w14:paraId="1BB3E8AC" w14:textId="77777777" w:rsidR="00B83AF8" w:rsidRPr="00B83AF8" w:rsidRDefault="00B83AF8" w:rsidP="001715B6">
      <w:pPr>
        <w:jc w:val="both"/>
        <w:rPr>
          <w:u w:val="single"/>
          <w:lang w:val="en-US" w:eastAsia="zh-CN"/>
        </w:rPr>
      </w:pPr>
    </w:p>
    <w:p w14:paraId="03B9EB2D" w14:textId="77777777" w:rsidR="000E6ADF" w:rsidRDefault="000E6ADF" w:rsidP="001715B6">
      <w:pPr>
        <w:jc w:val="both"/>
        <w:rPr>
          <w:lang w:val="en-US" w:eastAsia="zh-CN"/>
        </w:rPr>
      </w:pPr>
    </w:p>
    <w:p w14:paraId="7EE80E8F" w14:textId="1DBC8C3B" w:rsidR="000E6ADF" w:rsidRDefault="000E6ADF" w:rsidP="000E6ADF">
      <w:pPr>
        <w:pStyle w:val="Heading2"/>
        <w:rPr>
          <w:lang w:val="en-US" w:eastAsia="zh-CN"/>
        </w:rPr>
      </w:pPr>
      <w:r>
        <w:rPr>
          <w:rFonts w:hint="eastAsia"/>
          <w:lang w:val="en-US" w:eastAsia="zh-CN"/>
        </w:rPr>
        <w:t xml:space="preserve">3.2 </w:t>
      </w:r>
      <w:r>
        <w:rPr>
          <w:lang w:val="en-US" w:eastAsia="zh-CN"/>
        </w:rPr>
        <w:t>PAPR/CM analysis</w:t>
      </w:r>
    </w:p>
    <w:p w14:paraId="7F132D44" w14:textId="3B1CC2ED" w:rsidR="000E6ADF" w:rsidRPr="003E1583" w:rsidRDefault="0000276B" w:rsidP="00B66DB4">
      <w:pPr>
        <w:jc w:val="both"/>
        <w:rPr>
          <w:lang w:val="en-US" w:eastAsia="zh-CN"/>
        </w:rPr>
      </w:pPr>
      <w:r w:rsidRPr="003E1583">
        <w:rPr>
          <w:lang w:val="en-US" w:eastAsia="zh-CN"/>
        </w:rPr>
        <w:t xml:space="preserve">A technical concern of the transmit diversity schemes is the PAPR/CM of the transmit signals. </w:t>
      </w:r>
      <w:r w:rsidR="002312D9" w:rsidRPr="003E1583">
        <w:rPr>
          <w:lang w:val="en-US" w:eastAsia="zh-CN"/>
        </w:rPr>
        <w:t xml:space="preserve">In this section, some numerical results are presented about the PAPR/CM </w:t>
      </w:r>
      <w:r w:rsidR="00B66DB4" w:rsidRPr="003E1583">
        <w:rPr>
          <w:lang w:val="en-US" w:eastAsia="zh-CN"/>
        </w:rPr>
        <w:t>of the transmit diversity schemes discussed above. The PAPR and CM of SFBC-1, SFBC-2, FSTD and single antenna port are shown in Figure 4 and Figure 5 respectively. In the numerical results, it is assumed that N=1024 and M=240 (i.e. 20 PRBs). Note that the PAPR/CM of CDD, STBC, and PVS are the same as single antenna case, thus not shown in the figures.</w:t>
      </w:r>
    </w:p>
    <w:p w14:paraId="655C7718" w14:textId="0A98B84C" w:rsidR="000E6ADF" w:rsidRPr="003E1583" w:rsidRDefault="00B66DB4" w:rsidP="000E6ADF">
      <w:pPr>
        <w:rPr>
          <w:lang w:val="en-US" w:eastAsia="zh-CN"/>
        </w:rPr>
      </w:pPr>
      <w:r w:rsidRPr="003E1583">
        <w:rPr>
          <w:rFonts w:hint="eastAsia"/>
          <w:lang w:val="en-US" w:eastAsia="zh-CN"/>
        </w:rPr>
        <w:t>From the PAPR/CM results, we can get the following observations:</w:t>
      </w:r>
    </w:p>
    <w:p w14:paraId="596ECC19" w14:textId="538076B8" w:rsidR="00B66DB4" w:rsidRDefault="00B66DB4" w:rsidP="000E6ADF">
      <w:pPr>
        <w:rPr>
          <w:sz w:val="21"/>
          <w:szCs w:val="21"/>
          <w:lang w:val="en-US" w:eastAsia="zh-CN"/>
        </w:rPr>
      </w:pPr>
      <w:r w:rsidRPr="003E1583">
        <w:rPr>
          <w:rFonts w:hint="eastAsia"/>
          <w:b/>
          <w:lang w:val="en-US" w:eastAsia="zh-CN"/>
        </w:rPr>
        <w:t>Observation-1</w:t>
      </w:r>
      <w:r w:rsidRPr="003E1583">
        <w:rPr>
          <w:rFonts w:hint="eastAsia"/>
          <w:lang w:val="en-US" w:eastAsia="zh-CN"/>
        </w:rPr>
        <w:t>:</w:t>
      </w:r>
      <w:r w:rsidRPr="003E1583">
        <w:rPr>
          <w:lang w:val="en-US" w:eastAsia="zh-CN"/>
        </w:rPr>
        <w:t xml:space="preserve"> For SFBC-1, the</w:t>
      </w:r>
      <w:r w:rsidR="0032272E" w:rsidRPr="003E1583">
        <w:rPr>
          <w:lang w:val="en-US" w:eastAsia="zh-CN"/>
        </w:rPr>
        <w:t>re is small increase in</w:t>
      </w:r>
      <w:r w:rsidRPr="003E1583">
        <w:rPr>
          <w:lang w:val="en-US" w:eastAsia="zh-CN"/>
        </w:rPr>
        <w:t xml:space="preserve"> </w:t>
      </w:r>
      <w:r w:rsidR="0032272E" w:rsidRPr="003E1583">
        <w:rPr>
          <w:lang w:val="en-US" w:eastAsia="zh-CN"/>
        </w:rPr>
        <w:t xml:space="preserve">antenna 2 signal CM/PAPR by about 0.7dB compared with single antenna port, while antenna 1 signal of SFBC-1 has the same PAPR as single antenna. </w:t>
      </w:r>
    </w:p>
    <w:p w14:paraId="50A1AEFE" w14:textId="3445DCAA" w:rsidR="00B66DB4" w:rsidRPr="00B66DB4" w:rsidRDefault="00B66DB4" w:rsidP="000E6ADF">
      <w:pPr>
        <w:rPr>
          <w:sz w:val="21"/>
          <w:szCs w:val="21"/>
          <w:lang w:val="en-US" w:eastAsia="zh-CN"/>
        </w:rPr>
      </w:pPr>
      <w:r w:rsidRPr="003E1583">
        <w:rPr>
          <w:b/>
          <w:lang w:val="en-US" w:eastAsia="zh-CN"/>
        </w:rPr>
        <w:t>Observation-2</w:t>
      </w:r>
      <w:r w:rsidRPr="003E1583">
        <w:rPr>
          <w:lang w:val="en-US" w:eastAsia="zh-CN"/>
        </w:rPr>
        <w:t>:</w:t>
      </w:r>
      <w:r w:rsidR="0032272E" w:rsidRPr="003E1583">
        <w:rPr>
          <w:lang w:val="en-US" w:eastAsia="zh-CN"/>
        </w:rPr>
        <w:t xml:space="preserve"> For FSTD with dual DFT-precoding, lower PAPRs are observed for both antennas than single antenna case, while in CM metric they are </w:t>
      </w:r>
      <w:r w:rsidR="00110DE9">
        <w:rPr>
          <w:lang w:val="en-US" w:eastAsia="zh-CN"/>
        </w:rPr>
        <w:t>close</w:t>
      </w:r>
      <w:r w:rsidR="0032272E" w:rsidRPr="003E1583">
        <w:rPr>
          <w:lang w:val="en-US" w:eastAsia="zh-CN"/>
        </w:rPr>
        <w:t xml:space="preserve"> to each other. </w:t>
      </w:r>
    </w:p>
    <w:p w14:paraId="57EE9F91" w14:textId="07205333" w:rsidR="000E6ADF" w:rsidRPr="00B66DB4" w:rsidRDefault="00F31735" w:rsidP="001715B6">
      <w:pPr>
        <w:jc w:val="both"/>
        <w:rPr>
          <w:sz w:val="21"/>
          <w:szCs w:val="21"/>
          <w:lang w:val="en-US" w:eastAsia="zh-CN"/>
        </w:rPr>
      </w:pPr>
      <w:r w:rsidRPr="003E1583">
        <w:rPr>
          <w:rFonts w:hint="eastAsia"/>
          <w:b/>
          <w:lang w:val="en-US" w:eastAsia="zh-CN"/>
        </w:rPr>
        <w:t>Observation-3</w:t>
      </w:r>
      <w:r w:rsidRPr="003E1583">
        <w:rPr>
          <w:rFonts w:hint="eastAsia"/>
          <w:lang w:val="en-US" w:eastAsia="zh-CN"/>
        </w:rPr>
        <w:t xml:space="preserve">: </w:t>
      </w:r>
      <w:r w:rsidRPr="003E1583">
        <w:rPr>
          <w:lang w:val="en-US" w:eastAsia="zh-CN"/>
        </w:rPr>
        <w:t>SFBC-2 (and LD-CDD/SD-CDD, STBC-1/STBC-2 and PVS) signals have same CM/PAPR as single antenna case.</w:t>
      </w:r>
    </w:p>
    <w:p w14:paraId="4EC9D3E3" w14:textId="77777777" w:rsidR="00627E40" w:rsidRDefault="00627E40" w:rsidP="001715B6">
      <w:pPr>
        <w:jc w:val="both"/>
        <w:rPr>
          <w:b/>
          <w:lang w:val="en-US" w:eastAsia="zh-CN"/>
        </w:rPr>
      </w:pPr>
    </w:p>
    <w:p w14:paraId="5CE937CE" w14:textId="3A0BD815" w:rsidR="000C33CE" w:rsidRDefault="00B66DB4" w:rsidP="000C33CE">
      <w:pPr>
        <w:jc w:val="center"/>
        <w:rPr>
          <w:b/>
          <w:lang w:val="en-US" w:eastAsia="zh-CN"/>
        </w:rPr>
      </w:pPr>
      <w:r w:rsidRPr="000C33CE">
        <w:rPr>
          <w:rFonts w:hint="eastAsia"/>
          <w:noProof/>
          <w:lang w:val="en-US" w:eastAsia="zh-CN"/>
        </w:rPr>
        <w:lastRenderedPageBreak/>
        <w:drawing>
          <wp:inline distT="0" distB="0" distL="0" distR="0" wp14:anchorId="736D6B7A" wp14:editId="47C11CF5">
            <wp:extent cx="3358800"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525D3D57" w14:textId="24E1F03F" w:rsidR="000C33CE" w:rsidRDefault="00B66DB4" w:rsidP="000C33CE">
      <w:pPr>
        <w:jc w:val="center"/>
        <w:rPr>
          <w:lang w:val="en-US" w:eastAsia="zh-CN"/>
        </w:rPr>
      </w:pPr>
      <w:r>
        <w:rPr>
          <w:lang w:val="en-US" w:eastAsia="zh-CN"/>
        </w:rPr>
        <w:t>Figure 4: CDF of PAPR</w:t>
      </w:r>
    </w:p>
    <w:p w14:paraId="1E566678" w14:textId="58A7D7BA" w:rsidR="000C33CE" w:rsidRDefault="00B66DB4" w:rsidP="000C33CE">
      <w:pPr>
        <w:jc w:val="center"/>
        <w:rPr>
          <w:lang w:val="en-US" w:eastAsia="zh-CN"/>
        </w:rPr>
      </w:pPr>
      <w:r w:rsidRPr="00B66DB4">
        <w:rPr>
          <w:rFonts w:hint="eastAsia"/>
          <w:b/>
          <w:noProof/>
          <w:lang w:val="en-US" w:eastAsia="zh-CN"/>
        </w:rPr>
        <w:t xml:space="preserve"> </w:t>
      </w:r>
      <w:r w:rsidRPr="000C33CE">
        <w:rPr>
          <w:rFonts w:hint="eastAsia"/>
          <w:b/>
          <w:noProof/>
          <w:lang w:val="en-US" w:eastAsia="zh-CN"/>
        </w:rPr>
        <w:drawing>
          <wp:inline distT="0" distB="0" distL="0" distR="0" wp14:anchorId="25D64A7B" wp14:editId="28F40F8D">
            <wp:extent cx="3358800"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69A61104" w14:textId="78FE3A3D" w:rsidR="000C33CE" w:rsidRDefault="00B66DB4" w:rsidP="000C33CE">
      <w:pPr>
        <w:jc w:val="center"/>
        <w:rPr>
          <w:lang w:val="en-US" w:eastAsia="zh-CN"/>
        </w:rPr>
      </w:pPr>
      <w:r>
        <w:rPr>
          <w:rFonts w:hint="eastAsia"/>
          <w:lang w:val="en-US" w:eastAsia="zh-CN"/>
        </w:rPr>
        <w:t>Figure 5</w:t>
      </w:r>
      <w:r w:rsidR="000C33CE">
        <w:rPr>
          <w:rFonts w:hint="eastAsia"/>
          <w:lang w:val="en-US" w:eastAsia="zh-CN"/>
        </w:rPr>
        <w:t>:</w:t>
      </w:r>
      <w:r>
        <w:rPr>
          <w:lang w:val="en-US" w:eastAsia="zh-CN"/>
        </w:rPr>
        <w:t xml:space="preserve"> CDF of CM (note the additional offset in CM is not included)</w:t>
      </w:r>
    </w:p>
    <w:p w14:paraId="7E25A565" w14:textId="77777777" w:rsidR="000E6ADF" w:rsidRDefault="000E6ADF" w:rsidP="000E6ADF">
      <w:pPr>
        <w:rPr>
          <w:lang w:val="en-US" w:eastAsia="zh-CN"/>
        </w:rPr>
      </w:pPr>
    </w:p>
    <w:p w14:paraId="11C4D619" w14:textId="77777777" w:rsidR="000E6ADF" w:rsidRDefault="000E6ADF" w:rsidP="000E6ADF">
      <w:pPr>
        <w:pStyle w:val="Heading2"/>
        <w:rPr>
          <w:lang w:val="en-US" w:eastAsia="zh-CN"/>
        </w:rPr>
      </w:pPr>
      <w:r>
        <w:rPr>
          <w:rFonts w:hint="eastAsia"/>
          <w:lang w:val="en-US" w:eastAsia="zh-CN"/>
        </w:rPr>
        <w:t xml:space="preserve">3.3 </w:t>
      </w:r>
      <w:r>
        <w:rPr>
          <w:lang w:val="en-US" w:eastAsia="zh-CN"/>
        </w:rPr>
        <w:t>Performance evaluations</w:t>
      </w:r>
    </w:p>
    <w:p w14:paraId="47563AD3" w14:textId="0AD49905" w:rsidR="000E6ADF" w:rsidRPr="003E1583" w:rsidRDefault="00E21C7B" w:rsidP="000E6ADF">
      <w:pPr>
        <w:rPr>
          <w:lang w:val="en-US" w:eastAsia="zh-CN"/>
        </w:rPr>
      </w:pPr>
      <w:r w:rsidRPr="003E1583">
        <w:rPr>
          <w:rFonts w:hint="eastAsia"/>
          <w:lang w:val="en-US" w:eastAsia="zh-CN"/>
        </w:rPr>
        <w:t>The li</w:t>
      </w:r>
      <w:r w:rsidRPr="003E1583">
        <w:rPr>
          <w:lang w:val="en-US" w:eastAsia="zh-CN"/>
        </w:rPr>
        <w:t xml:space="preserve">nk performance evaluation results are presented in a companion paper [3]. For convenience, the observations in the link performance evaluation in [3] are copied here. </w:t>
      </w:r>
    </w:p>
    <w:p w14:paraId="1C861835" w14:textId="7E99D2E4" w:rsidR="00E770C6" w:rsidRDefault="00E770C6" w:rsidP="00E770C6">
      <w:pPr>
        <w:jc w:val="both"/>
        <w:rPr>
          <w:lang w:val="en-US" w:eastAsia="zh-CN"/>
        </w:rPr>
      </w:pPr>
      <w:r w:rsidRPr="00EB11A7">
        <w:rPr>
          <w:b/>
          <w:lang w:val="en-US" w:eastAsia="zh-CN"/>
        </w:rPr>
        <w:t>Observation-</w:t>
      </w:r>
      <w:r>
        <w:rPr>
          <w:b/>
          <w:lang w:val="en-US" w:eastAsia="zh-CN"/>
        </w:rPr>
        <w:t>4</w:t>
      </w:r>
      <w:r>
        <w:rPr>
          <w:lang w:val="en-US" w:eastAsia="zh-CN"/>
        </w:rPr>
        <w:t xml:space="preserve">: In all the cases, SFBC-1 (with simple coherent combination) has the best performance among all the evaluated transmit diversity schemes. It is better than SFBC-2 (with LMMSE detector) by at least 1.0dB in most cases. </w:t>
      </w:r>
    </w:p>
    <w:p w14:paraId="5F5B7022" w14:textId="1F6B50C7" w:rsidR="00E770C6" w:rsidRDefault="00E770C6" w:rsidP="00E770C6">
      <w:pPr>
        <w:jc w:val="both"/>
        <w:rPr>
          <w:lang w:val="en-US" w:eastAsia="zh-CN"/>
        </w:rPr>
      </w:pPr>
      <w:r w:rsidRPr="00EB11A7">
        <w:rPr>
          <w:b/>
          <w:lang w:val="en-US" w:eastAsia="zh-CN"/>
        </w:rPr>
        <w:t>Observation-</w:t>
      </w:r>
      <w:r>
        <w:rPr>
          <w:b/>
          <w:lang w:val="en-US" w:eastAsia="zh-CN"/>
        </w:rPr>
        <w:t>5</w:t>
      </w:r>
      <w:r>
        <w:rPr>
          <w:lang w:val="en-US" w:eastAsia="zh-CN"/>
        </w:rPr>
        <w:t xml:space="preserve">: In most cases, STBC-1 and STBC-2 achieve similar performances. STBC-1 (with LMMSE detector) is more robust than STBC-2 to super high Doppler (and first symbol distortion caused by AGC handling). </w:t>
      </w:r>
    </w:p>
    <w:p w14:paraId="51E9C21C" w14:textId="61081D14" w:rsidR="00E770C6" w:rsidRPr="0072764E" w:rsidRDefault="00E770C6" w:rsidP="00E770C6">
      <w:pPr>
        <w:jc w:val="both"/>
        <w:rPr>
          <w:lang w:val="en-US" w:eastAsia="zh-CN"/>
        </w:rPr>
      </w:pPr>
      <w:r w:rsidRPr="00EB11A7">
        <w:rPr>
          <w:b/>
          <w:lang w:val="en-US" w:eastAsia="zh-CN"/>
        </w:rPr>
        <w:t>Observation-</w:t>
      </w:r>
      <w:r>
        <w:rPr>
          <w:b/>
          <w:lang w:val="en-US" w:eastAsia="zh-CN"/>
        </w:rPr>
        <w:t>6</w:t>
      </w:r>
      <w:r>
        <w:rPr>
          <w:lang w:val="en-US" w:eastAsia="zh-CN"/>
        </w:rPr>
        <w:t xml:space="preserve">: In super high mobility (500kmph), deliberate abandoning the first symbol may improve the detection performance greatly for transmit diversity schemes except STBC-2. </w:t>
      </w:r>
    </w:p>
    <w:p w14:paraId="05470CDB" w14:textId="1C48DB08" w:rsidR="000E6ADF" w:rsidRDefault="00E770C6" w:rsidP="00E770C6">
      <w:pPr>
        <w:rPr>
          <w:lang w:val="en-US" w:eastAsia="zh-CN"/>
        </w:rPr>
      </w:pPr>
      <w:r w:rsidRPr="00EB11A7">
        <w:rPr>
          <w:b/>
          <w:lang w:val="en-US" w:eastAsia="zh-CN"/>
        </w:rPr>
        <w:t>Observation-</w:t>
      </w:r>
      <w:r>
        <w:rPr>
          <w:b/>
          <w:lang w:val="en-US" w:eastAsia="zh-CN"/>
        </w:rPr>
        <w:t>7</w:t>
      </w:r>
      <w:r>
        <w:rPr>
          <w:lang w:val="en-US" w:eastAsia="zh-CN"/>
        </w:rPr>
        <w:t>: LD-CDD, SD-CDD, PVS and FSTD with dual DFT-precoding achieve similar performances, which have little performance gain over single transmit antenna port.</w:t>
      </w:r>
    </w:p>
    <w:p w14:paraId="1BBE47C6" w14:textId="77777777" w:rsidR="00E770C6" w:rsidRPr="003E1583" w:rsidRDefault="00E770C6" w:rsidP="00E770C6">
      <w:pPr>
        <w:rPr>
          <w:lang w:val="en-US" w:eastAsia="zh-CN"/>
        </w:rPr>
      </w:pPr>
    </w:p>
    <w:p w14:paraId="6F9B6B80" w14:textId="33815B52" w:rsidR="00E21C7B" w:rsidRDefault="00E21C7B" w:rsidP="00E21C7B">
      <w:pPr>
        <w:pStyle w:val="Heading2"/>
        <w:rPr>
          <w:lang w:val="en-US" w:eastAsia="zh-CN"/>
        </w:rPr>
      </w:pPr>
      <w:r>
        <w:rPr>
          <w:rFonts w:hint="eastAsia"/>
          <w:lang w:val="en-US" w:eastAsia="zh-CN"/>
        </w:rPr>
        <w:lastRenderedPageBreak/>
        <w:t xml:space="preserve">3.4 </w:t>
      </w:r>
      <w:r>
        <w:rPr>
          <w:lang w:val="en-US" w:eastAsia="zh-CN"/>
        </w:rPr>
        <w:t>Discussions</w:t>
      </w:r>
    </w:p>
    <w:p w14:paraId="655175C3" w14:textId="77777777" w:rsidR="00015AF4" w:rsidRDefault="0072764E" w:rsidP="0072764E">
      <w:pPr>
        <w:jc w:val="both"/>
        <w:rPr>
          <w:lang w:val="en-US" w:eastAsia="zh-CN"/>
        </w:rPr>
      </w:pPr>
      <w:r w:rsidRPr="003E1583">
        <w:rPr>
          <w:rFonts w:hint="eastAsia"/>
          <w:lang w:val="en-US" w:eastAsia="zh-CN"/>
        </w:rPr>
        <w:t xml:space="preserve">Based on descriptions above, from link performance perspective, SFBC-1 achieves the best performance with low-complexity detection. </w:t>
      </w:r>
      <w:r w:rsidRPr="003E1583">
        <w:rPr>
          <w:lang w:val="en-US" w:eastAsia="zh-CN"/>
        </w:rPr>
        <w:t xml:space="preserve">It is more robust to the channel varying in time than STBC-1 and STBC-2, and more robust to the channel variations in frequency than SFBC-2. </w:t>
      </w:r>
    </w:p>
    <w:p w14:paraId="472C5A7F" w14:textId="319FFEE3" w:rsidR="00015AF4" w:rsidRDefault="00015AF4" w:rsidP="0072764E">
      <w:pPr>
        <w:jc w:val="both"/>
        <w:rPr>
          <w:lang w:val="en-US" w:eastAsia="zh-CN"/>
        </w:rPr>
      </w:pPr>
      <w:r>
        <w:rPr>
          <w:lang w:val="en-US" w:eastAsia="zh-CN"/>
        </w:rPr>
        <w:t xml:space="preserve">In comparison with SFBC-2, the performance gain of SFBC-1 (by at least 1.0dB in most cases) exceeds the CM/PAPR increase (about 0.7dB at the transmit antenna 2). </w:t>
      </w:r>
      <w:r w:rsidR="007C3046">
        <w:rPr>
          <w:lang w:val="en-US" w:eastAsia="zh-CN"/>
        </w:rPr>
        <w:t xml:space="preserve">Additionally, data transmission with SFBC-2 over wider bandwidth may lead to further performance degradation due to its sensitivity to frequency selectivity. </w:t>
      </w:r>
      <w:r>
        <w:rPr>
          <w:lang w:val="en-US" w:eastAsia="zh-CN"/>
        </w:rPr>
        <w:t>Thus, SFBC-1 is preferred among the two potential schemes of SFBC.</w:t>
      </w:r>
    </w:p>
    <w:p w14:paraId="440CA0CB" w14:textId="5DF9EA7C" w:rsidR="00E21C7B" w:rsidRPr="003E1583" w:rsidRDefault="00015AF4" w:rsidP="0072764E">
      <w:pPr>
        <w:jc w:val="both"/>
        <w:rPr>
          <w:lang w:val="en-US" w:eastAsia="zh-CN"/>
        </w:rPr>
      </w:pPr>
      <w:r>
        <w:rPr>
          <w:lang w:val="en-US" w:eastAsia="zh-CN"/>
        </w:rPr>
        <w:t xml:space="preserve">The two STBC schemes achieves ideal PAPR/CM and in most cases, they achieve similar link performances. However, STBC-1 (with LMMSE detector) is somewhat preferred to STBC-2 considering that the first symbol within the V2X subframe may be </w:t>
      </w:r>
      <w:r w:rsidR="007C3046">
        <w:rPr>
          <w:lang w:val="en-US" w:eastAsia="zh-CN"/>
        </w:rPr>
        <w:t>distorted by AGC handling and/or may suffer channel estimation penalty in super high mobility (in STBC-2 two M-length data blocks are carried in first symbol). For STBC-1, the first symbol is an orphan symbol as shown in Figure 1(b). The FSTD with dual DFT-precoding may be considered for this orphan symbol due to its flexibility that whole symbol based detection can be used to achieve diversity (if distortion from AGC handling</w:t>
      </w:r>
      <w:r w:rsidR="00BC2290">
        <w:rPr>
          <w:lang w:val="en-US" w:eastAsia="zh-CN"/>
        </w:rPr>
        <w:t xml:space="preserve"> is absent) or half symbol based detection can be used to improve spectral efficiency (if distortion from AGC handling is present)</w:t>
      </w:r>
    </w:p>
    <w:p w14:paraId="3FA6F47F" w14:textId="77777777" w:rsidR="0001715A" w:rsidRPr="00BC2290" w:rsidRDefault="0001715A" w:rsidP="0072764E">
      <w:pPr>
        <w:jc w:val="both"/>
        <w:rPr>
          <w:b/>
          <w:sz w:val="21"/>
          <w:szCs w:val="21"/>
          <w:lang w:val="en-US" w:eastAsia="zh-CN"/>
        </w:rPr>
      </w:pPr>
    </w:p>
    <w:p w14:paraId="4FC83ABD" w14:textId="01C41252" w:rsidR="00653EC4" w:rsidRDefault="00BC2290" w:rsidP="0001715A">
      <w:pPr>
        <w:jc w:val="both"/>
        <w:rPr>
          <w:lang w:val="en-US" w:eastAsia="zh-CN"/>
        </w:rPr>
      </w:pPr>
      <w:r>
        <w:rPr>
          <w:b/>
          <w:lang w:val="en-US" w:eastAsia="zh-CN"/>
        </w:rPr>
        <w:t xml:space="preserve">Proposal </w:t>
      </w:r>
      <w:r w:rsidR="0001715A" w:rsidRPr="003E1583">
        <w:rPr>
          <w:b/>
          <w:lang w:val="en-US" w:eastAsia="zh-CN"/>
        </w:rPr>
        <w:t>1</w:t>
      </w:r>
      <w:r w:rsidR="0001715A" w:rsidRPr="003E1583">
        <w:rPr>
          <w:lang w:val="en-US" w:eastAsia="zh-CN"/>
        </w:rPr>
        <w:t xml:space="preserve">: Down-select the </w:t>
      </w:r>
      <w:r>
        <w:rPr>
          <w:lang w:val="en-US" w:eastAsia="zh-CN"/>
        </w:rPr>
        <w:t xml:space="preserve">V2X PC5 </w:t>
      </w:r>
      <w:r w:rsidR="0001715A" w:rsidRPr="003E1583">
        <w:rPr>
          <w:lang w:val="en-US" w:eastAsia="zh-CN"/>
        </w:rPr>
        <w:t>trans</w:t>
      </w:r>
      <w:r>
        <w:rPr>
          <w:lang w:val="en-US" w:eastAsia="zh-CN"/>
        </w:rPr>
        <w:t xml:space="preserve">mit diversity candidate schemes to </w:t>
      </w:r>
      <w:r w:rsidR="0001715A" w:rsidRPr="003E1583">
        <w:rPr>
          <w:lang w:val="en-US" w:eastAsia="zh-CN"/>
        </w:rPr>
        <w:t>SFBC-1</w:t>
      </w:r>
      <w:r>
        <w:rPr>
          <w:lang w:val="en-US" w:eastAsia="zh-CN"/>
        </w:rPr>
        <w:t xml:space="preserve"> and STBC-1</w:t>
      </w:r>
      <w:r w:rsidR="00653EC4">
        <w:rPr>
          <w:lang w:val="en-US" w:eastAsia="zh-CN"/>
        </w:rPr>
        <w:t xml:space="preserve"> for further study. </w:t>
      </w:r>
    </w:p>
    <w:p w14:paraId="180AC104" w14:textId="77777777" w:rsidR="00E21C7B" w:rsidRPr="0001715A" w:rsidRDefault="00E21C7B" w:rsidP="000E6ADF">
      <w:pPr>
        <w:rPr>
          <w:lang w:val="en-US" w:eastAsia="zh-CN"/>
        </w:rPr>
      </w:pPr>
    </w:p>
    <w:p w14:paraId="521B7DE7" w14:textId="77777777" w:rsidR="000E6ADF" w:rsidRPr="000C33CE" w:rsidRDefault="000E6ADF" w:rsidP="000E6ADF">
      <w:pPr>
        <w:rPr>
          <w:lang w:val="en-US" w:eastAsia="zh-CN"/>
        </w:rPr>
      </w:pPr>
    </w:p>
    <w:p w14:paraId="5366A854" w14:textId="5B4A990B" w:rsidR="00CD4C7B" w:rsidRPr="00F13757" w:rsidRDefault="00F248DF" w:rsidP="00CD4C7B">
      <w:pPr>
        <w:pStyle w:val="Heading1"/>
        <w:rPr>
          <w:lang w:val="en-US" w:eastAsia="zh-CN"/>
        </w:rPr>
      </w:pPr>
      <w:r>
        <w:rPr>
          <w:rFonts w:hint="eastAsia"/>
          <w:lang w:val="en-US" w:eastAsia="zh-CN"/>
        </w:rPr>
        <w:t>4</w:t>
      </w:r>
      <w:r w:rsidR="00D6372B" w:rsidRPr="00F13757">
        <w:rPr>
          <w:lang w:val="en-US"/>
        </w:rPr>
        <w:tab/>
      </w:r>
      <w:r w:rsidR="00114498" w:rsidRPr="00F13757">
        <w:rPr>
          <w:rFonts w:hint="eastAsia"/>
          <w:lang w:val="en-US" w:eastAsia="zh-CN"/>
        </w:rPr>
        <w:t>Conclusion</w:t>
      </w:r>
    </w:p>
    <w:p w14:paraId="20B5ED85" w14:textId="77777777" w:rsidR="0001715A" w:rsidRPr="003E1583" w:rsidRDefault="008C6BFA" w:rsidP="00A82828">
      <w:pPr>
        <w:jc w:val="both"/>
        <w:rPr>
          <w:lang w:eastAsia="zh-CN"/>
        </w:rPr>
      </w:pPr>
      <w:r w:rsidRPr="003E1583">
        <w:rPr>
          <w:rFonts w:hint="eastAsia"/>
          <w:lang w:val="en-US" w:eastAsia="zh-CN"/>
        </w:rPr>
        <w:t xml:space="preserve">In this paper, </w:t>
      </w:r>
      <w:r w:rsidR="0001715A" w:rsidRPr="003E1583">
        <w:rPr>
          <w:lang w:val="en-US" w:eastAsia="zh-CN"/>
        </w:rPr>
        <w:t>the transmit diversity schemes for V2X PC5 transmission are discussed</w:t>
      </w:r>
      <w:r w:rsidRPr="003E1583">
        <w:rPr>
          <w:lang w:eastAsia="zh-CN"/>
        </w:rPr>
        <w:t>.</w:t>
      </w:r>
      <w:r w:rsidR="0001715A" w:rsidRPr="003E1583">
        <w:rPr>
          <w:lang w:eastAsia="zh-CN"/>
        </w:rPr>
        <w:t xml:space="preserve"> Based on the discussions, the following observations and proposal are obtained. </w:t>
      </w:r>
    </w:p>
    <w:p w14:paraId="292913F6" w14:textId="29C9C026" w:rsidR="0001715A" w:rsidRPr="003E1583" w:rsidRDefault="0001715A" w:rsidP="0001715A">
      <w:pPr>
        <w:rPr>
          <w:lang w:eastAsia="zh-CN"/>
        </w:rPr>
      </w:pPr>
      <w:r w:rsidRPr="003E1583">
        <w:rPr>
          <w:lang w:eastAsia="zh-CN"/>
        </w:rPr>
        <w:t xml:space="preserve">From PAPR/CM perspective, </w:t>
      </w:r>
      <w:r w:rsidR="008C6BFA" w:rsidRPr="003E1583">
        <w:rPr>
          <w:lang w:eastAsia="zh-CN"/>
        </w:rPr>
        <w:t xml:space="preserve"> </w:t>
      </w:r>
    </w:p>
    <w:p w14:paraId="2FCD774F" w14:textId="77777777" w:rsidR="00BC2290" w:rsidRDefault="00BC2290" w:rsidP="00BC2290">
      <w:pPr>
        <w:rPr>
          <w:sz w:val="21"/>
          <w:szCs w:val="21"/>
          <w:lang w:val="en-US" w:eastAsia="zh-CN"/>
        </w:rPr>
      </w:pPr>
      <w:r w:rsidRPr="003E1583">
        <w:rPr>
          <w:rFonts w:hint="eastAsia"/>
          <w:b/>
          <w:lang w:val="en-US" w:eastAsia="zh-CN"/>
        </w:rPr>
        <w:t>Observation-1</w:t>
      </w:r>
      <w:r w:rsidRPr="003E1583">
        <w:rPr>
          <w:rFonts w:hint="eastAsia"/>
          <w:lang w:val="en-US" w:eastAsia="zh-CN"/>
        </w:rPr>
        <w:t>:</w:t>
      </w:r>
      <w:r w:rsidRPr="003E1583">
        <w:rPr>
          <w:lang w:val="en-US" w:eastAsia="zh-CN"/>
        </w:rPr>
        <w:t xml:space="preserve"> For SFBC-1, there is small increase in antenna 2 signal CM/PAPR by about 0.7dB compared with single antenna port, while antenna 1 signal of SFBC-1 has the same PAPR as single antenna. </w:t>
      </w:r>
    </w:p>
    <w:p w14:paraId="7866D68E" w14:textId="77777777" w:rsidR="00BC2290" w:rsidRPr="00B66DB4" w:rsidRDefault="00BC2290" w:rsidP="00BC2290">
      <w:pPr>
        <w:rPr>
          <w:sz w:val="21"/>
          <w:szCs w:val="21"/>
          <w:lang w:val="en-US" w:eastAsia="zh-CN"/>
        </w:rPr>
      </w:pPr>
      <w:r w:rsidRPr="003E1583">
        <w:rPr>
          <w:b/>
          <w:lang w:val="en-US" w:eastAsia="zh-CN"/>
        </w:rPr>
        <w:t>Observation-2</w:t>
      </w:r>
      <w:r w:rsidRPr="003E1583">
        <w:rPr>
          <w:lang w:val="en-US" w:eastAsia="zh-CN"/>
        </w:rPr>
        <w:t xml:space="preserve">: For FSTD with dual DFT-precoding, lower PAPRs are observed for both antennas than single antenna case, while in CM metric they are </w:t>
      </w:r>
      <w:r>
        <w:rPr>
          <w:lang w:val="en-US" w:eastAsia="zh-CN"/>
        </w:rPr>
        <w:t>close</w:t>
      </w:r>
      <w:r w:rsidRPr="003E1583">
        <w:rPr>
          <w:lang w:val="en-US" w:eastAsia="zh-CN"/>
        </w:rPr>
        <w:t xml:space="preserve"> to each other. </w:t>
      </w:r>
    </w:p>
    <w:p w14:paraId="1C420305" w14:textId="77777777" w:rsidR="00BC2290" w:rsidRDefault="00BC2290" w:rsidP="00BC2290">
      <w:pPr>
        <w:jc w:val="both"/>
        <w:rPr>
          <w:lang w:val="en-US" w:eastAsia="zh-CN"/>
        </w:rPr>
      </w:pPr>
      <w:r w:rsidRPr="003E1583">
        <w:rPr>
          <w:rFonts w:hint="eastAsia"/>
          <w:b/>
          <w:lang w:val="en-US" w:eastAsia="zh-CN"/>
        </w:rPr>
        <w:t>Observation-3</w:t>
      </w:r>
      <w:r w:rsidRPr="003E1583">
        <w:rPr>
          <w:rFonts w:hint="eastAsia"/>
          <w:lang w:val="en-US" w:eastAsia="zh-CN"/>
        </w:rPr>
        <w:t xml:space="preserve">: </w:t>
      </w:r>
      <w:r w:rsidRPr="003E1583">
        <w:rPr>
          <w:lang w:val="en-US" w:eastAsia="zh-CN"/>
        </w:rPr>
        <w:t>SFBC-2 (and LD-CDD/SD-CDD, STBC-1/STBC-2 and PVS) signals have same CM/PAPR as single antenna case.</w:t>
      </w:r>
    </w:p>
    <w:p w14:paraId="523687A6" w14:textId="77777777" w:rsidR="006A1AD1" w:rsidRPr="00B66DB4" w:rsidRDefault="006A1AD1" w:rsidP="00BC2290">
      <w:pPr>
        <w:jc w:val="both"/>
        <w:rPr>
          <w:sz w:val="21"/>
          <w:szCs w:val="21"/>
          <w:lang w:val="en-US" w:eastAsia="zh-CN"/>
        </w:rPr>
      </w:pPr>
    </w:p>
    <w:p w14:paraId="3BDD462D" w14:textId="76C7F475" w:rsidR="0001715A" w:rsidRPr="003E1583" w:rsidRDefault="0001715A" w:rsidP="0001715A">
      <w:pPr>
        <w:jc w:val="both"/>
        <w:rPr>
          <w:lang w:val="en-US" w:eastAsia="zh-CN"/>
        </w:rPr>
      </w:pPr>
      <w:r w:rsidRPr="003E1583">
        <w:rPr>
          <w:lang w:val="en-US" w:eastAsia="zh-CN"/>
        </w:rPr>
        <w:t>From link performance perspective (copied from [3]),</w:t>
      </w:r>
    </w:p>
    <w:p w14:paraId="3FF04F5C" w14:textId="77777777" w:rsidR="00BC2290" w:rsidRDefault="00BC2290" w:rsidP="00BC2290">
      <w:pPr>
        <w:jc w:val="both"/>
        <w:rPr>
          <w:lang w:val="en-US" w:eastAsia="zh-CN"/>
        </w:rPr>
      </w:pPr>
      <w:r w:rsidRPr="00EB11A7">
        <w:rPr>
          <w:b/>
          <w:lang w:val="en-US" w:eastAsia="zh-CN"/>
        </w:rPr>
        <w:t>Observation-</w:t>
      </w:r>
      <w:r>
        <w:rPr>
          <w:b/>
          <w:lang w:val="en-US" w:eastAsia="zh-CN"/>
        </w:rPr>
        <w:t>4</w:t>
      </w:r>
      <w:r>
        <w:rPr>
          <w:lang w:val="en-US" w:eastAsia="zh-CN"/>
        </w:rPr>
        <w:t xml:space="preserve">: In all the cases, SFBC-1 (with simple coherent combination) has the best performance among all the evaluated transmit diversity schemes. It is better than SFBC-2 (with LMMSE detector) by at least 1.0dB in most cases. </w:t>
      </w:r>
    </w:p>
    <w:p w14:paraId="012157C3" w14:textId="77777777" w:rsidR="00BC2290" w:rsidRDefault="00BC2290" w:rsidP="00BC2290">
      <w:pPr>
        <w:jc w:val="both"/>
        <w:rPr>
          <w:lang w:val="en-US" w:eastAsia="zh-CN"/>
        </w:rPr>
      </w:pPr>
      <w:r w:rsidRPr="00EB11A7">
        <w:rPr>
          <w:b/>
          <w:lang w:val="en-US" w:eastAsia="zh-CN"/>
        </w:rPr>
        <w:t>Observation-</w:t>
      </w:r>
      <w:r>
        <w:rPr>
          <w:b/>
          <w:lang w:val="en-US" w:eastAsia="zh-CN"/>
        </w:rPr>
        <w:t>5</w:t>
      </w:r>
      <w:r>
        <w:rPr>
          <w:lang w:val="en-US" w:eastAsia="zh-CN"/>
        </w:rPr>
        <w:t xml:space="preserve">: In most cases, STBC-1 and STBC-2 achieve similar performances. STBC-1 (with LMMSE detector) is more robust than STBC-2 to super high Doppler (and first symbol distortion caused by AGC handling). </w:t>
      </w:r>
    </w:p>
    <w:p w14:paraId="7730976C" w14:textId="77777777" w:rsidR="00BC2290" w:rsidRPr="0072764E" w:rsidRDefault="00BC2290" w:rsidP="00BC2290">
      <w:pPr>
        <w:jc w:val="both"/>
        <w:rPr>
          <w:lang w:val="en-US" w:eastAsia="zh-CN"/>
        </w:rPr>
      </w:pPr>
      <w:r w:rsidRPr="00EB11A7">
        <w:rPr>
          <w:b/>
          <w:lang w:val="en-US" w:eastAsia="zh-CN"/>
        </w:rPr>
        <w:t>Observation-</w:t>
      </w:r>
      <w:r>
        <w:rPr>
          <w:b/>
          <w:lang w:val="en-US" w:eastAsia="zh-CN"/>
        </w:rPr>
        <w:t>6</w:t>
      </w:r>
      <w:r>
        <w:rPr>
          <w:lang w:val="en-US" w:eastAsia="zh-CN"/>
        </w:rPr>
        <w:t xml:space="preserve">: In super high mobility (500kmph), deliberate abandoning the first symbol may improve the detection performance greatly for transmit diversity schemes except STBC-2. </w:t>
      </w:r>
    </w:p>
    <w:p w14:paraId="1E2E044C" w14:textId="77777777" w:rsidR="00BC2290" w:rsidRDefault="00BC2290" w:rsidP="00BC2290">
      <w:pPr>
        <w:rPr>
          <w:lang w:val="en-US" w:eastAsia="zh-CN"/>
        </w:rPr>
      </w:pPr>
      <w:r w:rsidRPr="00EB11A7">
        <w:rPr>
          <w:b/>
          <w:lang w:val="en-US" w:eastAsia="zh-CN"/>
        </w:rPr>
        <w:t>Observation-</w:t>
      </w:r>
      <w:r>
        <w:rPr>
          <w:b/>
          <w:lang w:val="en-US" w:eastAsia="zh-CN"/>
        </w:rPr>
        <w:t>7</w:t>
      </w:r>
      <w:r>
        <w:rPr>
          <w:lang w:val="en-US" w:eastAsia="zh-CN"/>
        </w:rPr>
        <w:t>: LD-CDD, SD-CDD, PVS and FSTD with dual DFT-precoding achieve similar performances, which have little performance gain over single transmit antenna port.</w:t>
      </w:r>
    </w:p>
    <w:p w14:paraId="64B1098B" w14:textId="77777777" w:rsidR="0001715A" w:rsidRPr="00BC2290" w:rsidRDefault="0001715A" w:rsidP="0001715A">
      <w:pPr>
        <w:jc w:val="both"/>
        <w:rPr>
          <w:lang w:val="en-US" w:eastAsia="zh-CN"/>
        </w:rPr>
      </w:pPr>
    </w:p>
    <w:p w14:paraId="390158FD" w14:textId="039A9325" w:rsidR="0001715A" w:rsidRPr="003E1583" w:rsidRDefault="0001715A" w:rsidP="0001715A">
      <w:pPr>
        <w:jc w:val="both"/>
        <w:rPr>
          <w:lang w:val="en-US" w:eastAsia="zh-CN"/>
        </w:rPr>
      </w:pPr>
      <w:r w:rsidRPr="003E1583">
        <w:rPr>
          <w:rFonts w:hint="eastAsia"/>
          <w:lang w:val="en-US" w:eastAsia="zh-CN"/>
        </w:rPr>
        <w:t xml:space="preserve">Based on the </w:t>
      </w:r>
      <w:r w:rsidRPr="003E1583">
        <w:rPr>
          <w:lang w:val="en-US" w:eastAsia="zh-CN"/>
        </w:rPr>
        <w:t>above observations, make the following proposal</w:t>
      </w:r>
      <w:r w:rsidR="00653EC4">
        <w:rPr>
          <w:lang w:val="en-US" w:eastAsia="zh-CN"/>
        </w:rPr>
        <w:t>s</w:t>
      </w:r>
    </w:p>
    <w:p w14:paraId="71CE1098" w14:textId="00FBAD5D" w:rsidR="008C6BFA" w:rsidRPr="006A1AD1" w:rsidRDefault="00BC2290" w:rsidP="008C6BFA">
      <w:pPr>
        <w:jc w:val="both"/>
        <w:rPr>
          <w:lang w:val="en-US" w:eastAsia="zh-CN"/>
        </w:rPr>
      </w:pPr>
      <w:r>
        <w:rPr>
          <w:b/>
          <w:lang w:val="en-US" w:eastAsia="zh-CN"/>
        </w:rPr>
        <w:t xml:space="preserve">Proposal </w:t>
      </w:r>
      <w:r w:rsidRPr="003E1583">
        <w:rPr>
          <w:b/>
          <w:lang w:val="en-US" w:eastAsia="zh-CN"/>
        </w:rPr>
        <w:t>1</w:t>
      </w:r>
      <w:r w:rsidRPr="003E1583">
        <w:rPr>
          <w:lang w:val="en-US" w:eastAsia="zh-CN"/>
        </w:rPr>
        <w:t xml:space="preserve">: Down-select the </w:t>
      </w:r>
      <w:r>
        <w:rPr>
          <w:lang w:val="en-US" w:eastAsia="zh-CN"/>
        </w:rPr>
        <w:t xml:space="preserve">V2X PC5 </w:t>
      </w:r>
      <w:r w:rsidRPr="003E1583">
        <w:rPr>
          <w:lang w:val="en-US" w:eastAsia="zh-CN"/>
        </w:rPr>
        <w:t>trans</w:t>
      </w:r>
      <w:r>
        <w:rPr>
          <w:lang w:val="en-US" w:eastAsia="zh-CN"/>
        </w:rPr>
        <w:t xml:space="preserve">mit diversity candidate schemes to </w:t>
      </w:r>
      <w:r w:rsidRPr="003E1583">
        <w:rPr>
          <w:lang w:val="en-US" w:eastAsia="zh-CN"/>
        </w:rPr>
        <w:t>SFBC-1</w:t>
      </w:r>
      <w:r>
        <w:rPr>
          <w:lang w:val="en-US" w:eastAsia="zh-CN"/>
        </w:rPr>
        <w:t xml:space="preserve"> and STBC-1 for further study. </w:t>
      </w:r>
    </w:p>
    <w:p w14:paraId="29F6A1FA" w14:textId="02725CBC" w:rsidR="00B07A8E" w:rsidRDefault="00CD4C7B" w:rsidP="008D79DC">
      <w:pPr>
        <w:pStyle w:val="Heading1"/>
      </w:pPr>
      <w:r w:rsidRPr="00F13757">
        <w:lastRenderedPageBreak/>
        <w:t>References</w:t>
      </w:r>
    </w:p>
    <w:p w14:paraId="785C4194" w14:textId="5BFB6F0F" w:rsidR="008D79DC" w:rsidRDefault="00E8446A" w:rsidP="00FB59B6">
      <w:pPr>
        <w:numPr>
          <w:ilvl w:val="0"/>
          <w:numId w:val="4"/>
        </w:numPr>
        <w:overflowPunct w:val="0"/>
        <w:autoSpaceDE w:val="0"/>
        <w:autoSpaceDN w:val="0"/>
        <w:adjustRightInd w:val="0"/>
        <w:textAlignment w:val="baseline"/>
      </w:pPr>
      <w:r>
        <w:rPr>
          <w:lang w:eastAsia="zh-CN"/>
        </w:rPr>
        <w:t xml:space="preserve">3GPP </w:t>
      </w:r>
      <w:r w:rsidRPr="00AB124B">
        <w:rPr>
          <w:lang w:eastAsia="zh-CN"/>
        </w:rPr>
        <w:t>RP-17</w:t>
      </w:r>
      <w:r w:rsidRPr="00AB124B">
        <w:rPr>
          <w:rFonts w:hint="eastAsia"/>
          <w:lang w:eastAsia="zh-CN"/>
        </w:rPr>
        <w:t>0</w:t>
      </w:r>
      <w:r w:rsidRPr="00AB124B">
        <w:rPr>
          <w:lang w:eastAsia="zh-CN"/>
        </w:rPr>
        <w:t>798</w:t>
      </w:r>
      <w:r>
        <w:rPr>
          <w:rFonts w:hint="eastAsia"/>
          <w:lang w:eastAsia="zh-CN"/>
        </w:rPr>
        <w:t xml:space="preserve">, </w:t>
      </w:r>
      <w:r w:rsidRPr="00AB124B">
        <w:rPr>
          <w:lang w:eastAsia="zh-CN"/>
        </w:rPr>
        <w:t xml:space="preserve">New WID on </w:t>
      </w:r>
      <w:r w:rsidRPr="00AB124B">
        <w:rPr>
          <w:rFonts w:hint="eastAsia"/>
          <w:lang w:eastAsia="zh-CN"/>
        </w:rPr>
        <w:t>3GPP V2X Phase 2</w:t>
      </w:r>
      <w:r>
        <w:rPr>
          <w:rFonts w:hint="eastAsia"/>
          <w:lang w:eastAsia="zh-CN"/>
        </w:rPr>
        <w:t>, RAN#7</w:t>
      </w:r>
      <w:r w:rsidRPr="00AB124B">
        <w:rPr>
          <w:rFonts w:hint="eastAsia"/>
          <w:lang w:eastAsia="zh-CN"/>
        </w:rPr>
        <w:t>5</w:t>
      </w:r>
      <w:r>
        <w:rPr>
          <w:rFonts w:hint="eastAsia"/>
          <w:lang w:eastAsia="zh-CN"/>
        </w:rPr>
        <w:t xml:space="preserve">, </w:t>
      </w:r>
      <w:r w:rsidRPr="00AB124B">
        <w:rPr>
          <w:lang w:eastAsia="zh-CN"/>
        </w:rPr>
        <w:t>Dubrovnik, March 6 - 9, 2017</w:t>
      </w:r>
      <w:r w:rsidRPr="00AB124B">
        <w:rPr>
          <w:rFonts w:hint="eastAsia"/>
          <w:lang w:eastAsia="zh-CN"/>
        </w:rPr>
        <w:t>.</w:t>
      </w:r>
    </w:p>
    <w:p w14:paraId="5DA5458A" w14:textId="248D1204" w:rsidR="00BD1A60" w:rsidRDefault="00095B45" w:rsidP="00FB59B6">
      <w:pPr>
        <w:numPr>
          <w:ilvl w:val="0"/>
          <w:numId w:val="4"/>
        </w:numPr>
        <w:overflowPunct w:val="0"/>
        <w:autoSpaceDE w:val="0"/>
        <w:autoSpaceDN w:val="0"/>
        <w:adjustRightInd w:val="0"/>
        <w:textAlignment w:val="baseline"/>
      </w:pPr>
      <w:r>
        <w:rPr>
          <w:rFonts w:hint="eastAsia"/>
          <w:lang w:eastAsia="zh-CN"/>
        </w:rPr>
        <w:t>RAN1#88</w:t>
      </w:r>
      <w:r w:rsidR="00E8446A">
        <w:rPr>
          <w:lang w:eastAsia="zh-CN"/>
        </w:rPr>
        <w:t>bis</w:t>
      </w:r>
      <w:r>
        <w:rPr>
          <w:rFonts w:hint="eastAsia"/>
          <w:lang w:eastAsia="zh-CN"/>
        </w:rPr>
        <w:t xml:space="preserve"> chairman notes</w:t>
      </w:r>
      <w:r w:rsidR="0001715A">
        <w:rPr>
          <w:lang w:eastAsia="zh-CN"/>
        </w:rPr>
        <w:t>.</w:t>
      </w:r>
    </w:p>
    <w:p w14:paraId="2F0D6BC2" w14:textId="6BE13C79" w:rsidR="00AF140E" w:rsidRDefault="00B91B42" w:rsidP="00AF140E">
      <w:pPr>
        <w:numPr>
          <w:ilvl w:val="0"/>
          <w:numId w:val="4"/>
        </w:numPr>
        <w:overflowPunct w:val="0"/>
        <w:autoSpaceDE w:val="0"/>
        <w:autoSpaceDN w:val="0"/>
        <w:adjustRightInd w:val="0"/>
        <w:textAlignment w:val="baseline"/>
      </w:pPr>
      <w:r>
        <w:t>R1-1708559</w:t>
      </w:r>
      <w:r>
        <w:rPr>
          <w:rFonts w:hint="eastAsia"/>
          <w:lang w:eastAsia="zh-CN"/>
        </w:rPr>
        <w:t xml:space="preserve">, </w:t>
      </w:r>
      <w:r>
        <w:t>Initial evaluations of transmit diversity schemes for V2X PC5</w:t>
      </w:r>
      <w:r>
        <w:rPr>
          <w:rFonts w:hint="eastAsia"/>
          <w:lang w:eastAsia="zh-CN"/>
        </w:rPr>
        <w:t>, RAN1-89.</w:t>
      </w:r>
    </w:p>
    <w:p w14:paraId="71C6FB0C" w14:textId="5C7F8E90" w:rsidR="00E21C7B" w:rsidRDefault="0001715A" w:rsidP="00AF140E">
      <w:pPr>
        <w:numPr>
          <w:ilvl w:val="0"/>
          <w:numId w:val="4"/>
        </w:numPr>
        <w:overflowPunct w:val="0"/>
        <w:autoSpaceDE w:val="0"/>
        <w:autoSpaceDN w:val="0"/>
        <w:adjustRightInd w:val="0"/>
        <w:textAlignment w:val="baseline"/>
      </w:pPr>
      <w:r w:rsidRPr="00BA4EDA">
        <w:rPr>
          <w:color w:val="000000"/>
          <w:lang w:eastAsia="zh-CN"/>
        </w:rPr>
        <w:t>C. Ciochina, et al, Space-frequency block code for single-carrier FDMA, Electronics letters, Vol 14, No. 11, May 2008</w:t>
      </w:r>
      <w:bookmarkStart w:id="1" w:name="_GoBack"/>
      <w:bookmarkEnd w:id="1"/>
    </w:p>
    <w:p w14:paraId="166F09DA" w14:textId="2B7A8CFE" w:rsidR="005948F4" w:rsidRPr="005948F4" w:rsidRDefault="0032145C" w:rsidP="005948F4">
      <w:pPr>
        <w:rPr>
          <w:lang w:eastAsia="zh-CN"/>
        </w:rPr>
      </w:pPr>
      <w:r>
        <w:rPr>
          <w:rFonts w:hint="eastAsia"/>
          <w:lang w:eastAsia="zh-CN"/>
        </w:rPr>
        <w:t xml:space="preserve"> </w:t>
      </w:r>
    </w:p>
    <w:sectPr w:rsidR="005948F4" w:rsidRPr="005948F4"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15768" w14:textId="77777777" w:rsidR="001203A9" w:rsidRDefault="001203A9">
      <w:r>
        <w:separator/>
      </w:r>
    </w:p>
  </w:endnote>
  <w:endnote w:type="continuationSeparator" w:id="0">
    <w:p w14:paraId="68ED5E4E" w14:textId="77777777" w:rsidR="001203A9" w:rsidRDefault="0012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DB1E9" w14:textId="77777777" w:rsidR="001203A9" w:rsidRDefault="001203A9">
      <w:r>
        <w:separator/>
      </w:r>
    </w:p>
  </w:footnote>
  <w:footnote w:type="continuationSeparator" w:id="0">
    <w:p w14:paraId="3AC179BE" w14:textId="77777777" w:rsidR="001203A9" w:rsidRDefault="00120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E1CCF"/>
    <w:multiLevelType w:val="hybridMultilevel"/>
    <w:tmpl w:val="D376E3AC"/>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70E"/>
    <w:multiLevelType w:val="hybridMultilevel"/>
    <w:tmpl w:val="0F743F52"/>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95B2D"/>
    <w:multiLevelType w:val="hybridMultilevel"/>
    <w:tmpl w:val="B3A2E48A"/>
    <w:lvl w:ilvl="0" w:tplc="A9E66D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7"/>
  </w:num>
  <w:num w:numId="7">
    <w:abstractNumId w:val="9"/>
  </w:num>
  <w:num w:numId="8">
    <w:abstractNumId w:val="12"/>
  </w:num>
  <w:num w:numId="9">
    <w:abstractNumId w:val="2"/>
  </w:num>
  <w:num w:numId="10">
    <w:abstractNumId w:val="4"/>
  </w:num>
  <w:num w:numId="11">
    <w:abstractNumId w:val="5"/>
  </w:num>
  <w:num w:numId="12">
    <w:abstractNumId w:val="10"/>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76B"/>
    <w:rsid w:val="000036D5"/>
    <w:rsid w:val="00003C1C"/>
    <w:rsid w:val="00004AE4"/>
    <w:rsid w:val="000058ED"/>
    <w:rsid w:val="000076DB"/>
    <w:rsid w:val="00007ADD"/>
    <w:rsid w:val="000123E5"/>
    <w:rsid w:val="00013E2C"/>
    <w:rsid w:val="00014573"/>
    <w:rsid w:val="00015AF4"/>
    <w:rsid w:val="00016079"/>
    <w:rsid w:val="0001715A"/>
    <w:rsid w:val="0002134D"/>
    <w:rsid w:val="000217CF"/>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859D6"/>
    <w:rsid w:val="00090468"/>
    <w:rsid w:val="00092ADC"/>
    <w:rsid w:val="00094518"/>
    <w:rsid w:val="00095B45"/>
    <w:rsid w:val="00096193"/>
    <w:rsid w:val="000A3C88"/>
    <w:rsid w:val="000B055F"/>
    <w:rsid w:val="000B1B43"/>
    <w:rsid w:val="000B7BCF"/>
    <w:rsid w:val="000C0129"/>
    <w:rsid w:val="000C15BD"/>
    <w:rsid w:val="000C33CE"/>
    <w:rsid w:val="000C522B"/>
    <w:rsid w:val="000C668E"/>
    <w:rsid w:val="000C7751"/>
    <w:rsid w:val="000D34AE"/>
    <w:rsid w:val="000D5724"/>
    <w:rsid w:val="000D58AB"/>
    <w:rsid w:val="000E2155"/>
    <w:rsid w:val="000E6ADF"/>
    <w:rsid w:val="000E706B"/>
    <w:rsid w:val="000F0DA7"/>
    <w:rsid w:val="00102C0E"/>
    <w:rsid w:val="00102D32"/>
    <w:rsid w:val="001104F7"/>
    <w:rsid w:val="00110DE9"/>
    <w:rsid w:val="00112B26"/>
    <w:rsid w:val="00114498"/>
    <w:rsid w:val="00114974"/>
    <w:rsid w:val="001203A9"/>
    <w:rsid w:val="00124E9D"/>
    <w:rsid w:val="0012595B"/>
    <w:rsid w:val="0012734B"/>
    <w:rsid w:val="00127FA1"/>
    <w:rsid w:val="00131C90"/>
    <w:rsid w:val="00133A93"/>
    <w:rsid w:val="001356E3"/>
    <w:rsid w:val="001359D9"/>
    <w:rsid w:val="0013678A"/>
    <w:rsid w:val="00147928"/>
    <w:rsid w:val="00157615"/>
    <w:rsid w:val="00157CA5"/>
    <w:rsid w:val="00160708"/>
    <w:rsid w:val="00160A8C"/>
    <w:rsid w:val="00163EC5"/>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5DFC"/>
    <w:rsid w:val="001A6050"/>
    <w:rsid w:val="001A6131"/>
    <w:rsid w:val="001B1A55"/>
    <w:rsid w:val="001B49C9"/>
    <w:rsid w:val="001B78C7"/>
    <w:rsid w:val="001C08AF"/>
    <w:rsid w:val="001C23CA"/>
    <w:rsid w:val="001C26F7"/>
    <w:rsid w:val="001C5E7D"/>
    <w:rsid w:val="001C6217"/>
    <w:rsid w:val="001D4903"/>
    <w:rsid w:val="001D4DD9"/>
    <w:rsid w:val="001D56A3"/>
    <w:rsid w:val="001D66FF"/>
    <w:rsid w:val="001D6D1E"/>
    <w:rsid w:val="001E19A7"/>
    <w:rsid w:val="001E5822"/>
    <w:rsid w:val="001E6EDF"/>
    <w:rsid w:val="001F168B"/>
    <w:rsid w:val="001F3BB2"/>
    <w:rsid w:val="001F42AA"/>
    <w:rsid w:val="001F4D26"/>
    <w:rsid w:val="001F7831"/>
    <w:rsid w:val="00200E0B"/>
    <w:rsid w:val="0020136E"/>
    <w:rsid w:val="00203A3A"/>
    <w:rsid w:val="00204045"/>
    <w:rsid w:val="00210EE3"/>
    <w:rsid w:val="002120EC"/>
    <w:rsid w:val="002126CE"/>
    <w:rsid w:val="00215E70"/>
    <w:rsid w:val="00215EED"/>
    <w:rsid w:val="0021607F"/>
    <w:rsid w:val="0021654A"/>
    <w:rsid w:val="00221530"/>
    <w:rsid w:val="002224C6"/>
    <w:rsid w:val="00222816"/>
    <w:rsid w:val="0022606D"/>
    <w:rsid w:val="00227B65"/>
    <w:rsid w:val="002312D9"/>
    <w:rsid w:val="00231734"/>
    <w:rsid w:val="00233D83"/>
    <w:rsid w:val="00234A2A"/>
    <w:rsid w:val="00235C46"/>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330F"/>
    <w:rsid w:val="002747EC"/>
    <w:rsid w:val="00275196"/>
    <w:rsid w:val="00275FEF"/>
    <w:rsid w:val="002766BB"/>
    <w:rsid w:val="002802B5"/>
    <w:rsid w:val="00280AD8"/>
    <w:rsid w:val="002854B1"/>
    <w:rsid w:val="002855BF"/>
    <w:rsid w:val="00285757"/>
    <w:rsid w:val="00293E77"/>
    <w:rsid w:val="0029756E"/>
    <w:rsid w:val="002A15A0"/>
    <w:rsid w:val="002A2BD3"/>
    <w:rsid w:val="002A7A42"/>
    <w:rsid w:val="002B0F0F"/>
    <w:rsid w:val="002B322E"/>
    <w:rsid w:val="002B548A"/>
    <w:rsid w:val="002B5769"/>
    <w:rsid w:val="002B5ECC"/>
    <w:rsid w:val="002B793F"/>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1628"/>
    <w:rsid w:val="002E29D4"/>
    <w:rsid w:val="002E4086"/>
    <w:rsid w:val="002E5B05"/>
    <w:rsid w:val="002E7F96"/>
    <w:rsid w:val="002F0D22"/>
    <w:rsid w:val="002F32FC"/>
    <w:rsid w:val="0030035F"/>
    <w:rsid w:val="00302A20"/>
    <w:rsid w:val="0030709E"/>
    <w:rsid w:val="003079DF"/>
    <w:rsid w:val="00310EBA"/>
    <w:rsid w:val="00312303"/>
    <w:rsid w:val="00313FB0"/>
    <w:rsid w:val="0031453C"/>
    <w:rsid w:val="0031498C"/>
    <w:rsid w:val="003172DC"/>
    <w:rsid w:val="003208E0"/>
    <w:rsid w:val="0032145C"/>
    <w:rsid w:val="0032272E"/>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71E4F"/>
    <w:rsid w:val="003A7A92"/>
    <w:rsid w:val="003B008F"/>
    <w:rsid w:val="003B1884"/>
    <w:rsid w:val="003B25E0"/>
    <w:rsid w:val="003B3B30"/>
    <w:rsid w:val="003B40AD"/>
    <w:rsid w:val="003B500D"/>
    <w:rsid w:val="003B5DFC"/>
    <w:rsid w:val="003B6EEB"/>
    <w:rsid w:val="003C28B3"/>
    <w:rsid w:val="003C3093"/>
    <w:rsid w:val="003C414F"/>
    <w:rsid w:val="003C4E37"/>
    <w:rsid w:val="003C5C5A"/>
    <w:rsid w:val="003D14BD"/>
    <w:rsid w:val="003D31D6"/>
    <w:rsid w:val="003D46DA"/>
    <w:rsid w:val="003D4796"/>
    <w:rsid w:val="003D5A55"/>
    <w:rsid w:val="003D6FC4"/>
    <w:rsid w:val="003E0DFC"/>
    <w:rsid w:val="003E1583"/>
    <w:rsid w:val="003E16BE"/>
    <w:rsid w:val="003E1BEA"/>
    <w:rsid w:val="003E2E1F"/>
    <w:rsid w:val="003E35DF"/>
    <w:rsid w:val="003E35EE"/>
    <w:rsid w:val="003E7A66"/>
    <w:rsid w:val="003F129B"/>
    <w:rsid w:val="003F4326"/>
    <w:rsid w:val="003F5965"/>
    <w:rsid w:val="003F6C84"/>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C8E"/>
    <w:rsid w:val="004436EB"/>
    <w:rsid w:val="00444ED2"/>
    <w:rsid w:val="00446A56"/>
    <w:rsid w:val="0044724E"/>
    <w:rsid w:val="004503F8"/>
    <w:rsid w:val="0045096D"/>
    <w:rsid w:val="00455351"/>
    <w:rsid w:val="00456D8E"/>
    <w:rsid w:val="00457E55"/>
    <w:rsid w:val="00460661"/>
    <w:rsid w:val="0046128A"/>
    <w:rsid w:val="0046457A"/>
    <w:rsid w:val="00465833"/>
    <w:rsid w:val="00472AD1"/>
    <w:rsid w:val="00475A6C"/>
    <w:rsid w:val="0047664D"/>
    <w:rsid w:val="00477455"/>
    <w:rsid w:val="004777DB"/>
    <w:rsid w:val="004920AF"/>
    <w:rsid w:val="00494108"/>
    <w:rsid w:val="004B018B"/>
    <w:rsid w:val="004B33D5"/>
    <w:rsid w:val="004B3D95"/>
    <w:rsid w:val="004B4005"/>
    <w:rsid w:val="004B4358"/>
    <w:rsid w:val="004B437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AD5"/>
    <w:rsid w:val="00505F89"/>
    <w:rsid w:val="00506928"/>
    <w:rsid w:val="00510BD8"/>
    <w:rsid w:val="00510C2E"/>
    <w:rsid w:val="00510E01"/>
    <w:rsid w:val="0051119B"/>
    <w:rsid w:val="00512AF2"/>
    <w:rsid w:val="00514158"/>
    <w:rsid w:val="00516B77"/>
    <w:rsid w:val="005215DD"/>
    <w:rsid w:val="00530722"/>
    <w:rsid w:val="00530D12"/>
    <w:rsid w:val="005333DA"/>
    <w:rsid w:val="00534DA0"/>
    <w:rsid w:val="00535BDE"/>
    <w:rsid w:val="00535DD1"/>
    <w:rsid w:val="00537033"/>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948F4"/>
    <w:rsid w:val="005A0D0C"/>
    <w:rsid w:val="005A349A"/>
    <w:rsid w:val="005A4397"/>
    <w:rsid w:val="005A749D"/>
    <w:rsid w:val="005B3F79"/>
    <w:rsid w:val="005B571D"/>
    <w:rsid w:val="005B657A"/>
    <w:rsid w:val="005B79C5"/>
    <w:rsid w:val="005C140D"/>
    <w:rsid w:val="005C39C2"/>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6B4D"/>
    <w:rsid w:val="006177CB"/>
    <w:rsid w:val="00620212"/>
    <w:rsid w:val="00620FA6"/>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EC4"/>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1F80"/>
    <w:rsid w:val="00693730"/>
    <w:rsid w:val="00695C0D"/>
    <w:rsid w:val="006A1AD1"/>
    <w:rsid w:val="006A472D"/>
    <w:rsid w:val="006A4B36"/>
    <w:rsid w:val="006A6CF6"/>
    <w:rsid w:val="006B06D1"/>
    <w:rsid w:val="006B2EAD"/>
    <w:rsid w:val="006B409A"/>
    <w:rsid w:val="006B4A0C"/>
    <w:rsid w:val="006C02C9"/>
    <w:rsid w:val="006C056C"/>
    <w:rsid w:val="006C66D8"/>
    <w:rsid w:val="006C72E4"/>
    <w:rsid w:val="006C7DE8"/>
    <w:rsid w:val="006D1E24"/>
    <w:rsid w:val="006D3316"/>
    <w:rsid w:val="006D4290"/>
    <w:rsid w:val="006E0F4C"/>
    <w:rsid w:val="006E184D"/>
    <w:rsid w:val="006E1EE1"/>
    <w:rsid w:val="006E2A4D"/>
    <w:rsid w:val="006E2CE7"/>
    <w:rsid w:val="006E317B"/>
    <w:rsid w:val="006E439E"/>
    <w:rsid w:val="006E7655"/>
    <w:rsid w:val="006E7875"/>
    <w:rsid w:val="006F1495"/>
    <w:rsid w:val="006F176F"/>
    <w:rsid w:val="006F22D5"/>
    <w:rsid w:val="006F6A2C"/>
    <w:rsid w:val="00702A51"/>
    <w:rsid w:val="00712C73"/>
    <w:rsid w:val="00713380"/>
    <w:rsid w:val="00715FDE"/>
    <w:rsid w:val="00717954"/>
    <w:rsid w:val="00717E38"/>
    <w:rsid w:val="00722009"/>
    <w:rsid w:val="00723699"/>
    <w:rsid w:val="00726AF2"/>
    <w:rsid w:val="0072764E"/>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5D22"/>
    <w:rsid w:val="0078727C"/>
    <w:rsid w:val="0079049D"/>
    <w:rsid w:val="0079709C"/>
    <w:rsid w:val="007A2163"/>
    <w:rsid w:val="007A3390"/>
    <w:rsid w:val="007A5A70"/>
    <w:rsid w:val="007B18D8"/>
    <w:rsid w:val="007B481B"/>
    <w:rsid w:val="007B7E4B"/>
    <w:rsid w:val="007C05B8"/>
    <w:rsid w:val="007C095F"/>
    <w:rsid w:val="007C3046"/>
    <w:rsid w:val="007C3793"/>
    <w:rsid w:val="007C3A43"/>
    <w:rsid w:val="007C634F"/>
    <w:rsid w:val="007D0CE7"/>
    <w:rsid w:val="007D407E"/>
    <w:rsid w:val="007D5507"/>
    <w:rsid w:val="007D7900"/>
    <w:rsid w:val="007E01E2"/>
    <w:rsid w:val="007E45BF"/>
    <w:rsid w:val="007E4BD5"/>
    <w:rsid w:val="007E4FE3"/>
    <w:rsid w:val="007E5DCD"/>
    <w:rsid w:val="007F1360"/>
    <w:rsid w:val="007F6B24"/>
    <w:rsid w:val="008028A4"/>
    <w:rsid w:val="00802C71"/>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68CA"/>
    <w:rsid w:val="0087716E"/>
    <w:rsid w:val="00880559"/>
    <w:rsid w:val="008823DE"/>
    <w:rsid w:val="00883804"/>
    <w:rsid w:val="00884562"/>
    <w:rsid w:val="0088497D"/>
    <w:rsid w:val="0088498B"/>
    <w:rsid w:val="00885E06"/>
    <w:rsid w:val="008902BB"/>
    <w:rsid w:val="008929FA"/>
    <w:rsid w:val="008930F9"/>
    <w:rsid w:val="008968AD"/>
    <w:rsid w:val="00897777"/>
    <w:rsid w:val="008A3C48"/>
    <w:rsid w:val="008A4706"/>
    <w:rsid w:val="008A4F92"/>
    <w:rsid w:val="008A5335"/>
    <w:rsid w:val="008A5509"/>
    <w:rsid w:val="008A6CE5"/>
    <w:rsid w:val="008A7453"/>
    <w:rsid w:val="008B3F99"/>
    <w:rsid w:val="008B511A"/>
    <w:rsid w:val="008C49DC"/>
    <w:rsid w:val="008C5FA6"/>
    <w:rsid w:val="008C6488"/>
    <w:rsid w:val="008C6BFA"/>
    <w:rsid w:val="008D05F7"/>
    <w:rsid w:val="008D2BBA"/>
    <w:rsid w:val="008D3FD6"/>
    <w:rsid w:val="008D79DC"/>
    <w:rsid w:val="008E45FE"/>
    <w:rsid w:val="008E7CA5"/>
    <w:rsid w:val="008E7ED3"/>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4DB2"/>
    <w:rsid w:val="0093513A"/>
    <w:rsid w:val="009368F9"/>
    <w:rsid w:val="00940A97"/>
    <w:rsid w:val="00942EC2"/>
    <w:rsid w:val="0094733B"/>
    <w:rsid w:val="00947793"/>
    <w:rsid w:val="00950E97"/>
    <w:rsid w:val="009523C1"/>
    <w:rsid w:val="0095411B"/>
    <w:rsid w:val="00961A5E"/>
    <w:rsid w:val="00961B32"/>
    <w:rsid w:val="00964DA3"/>
    <w:rsid w:val="0096579F"/>
    <w:rsid w:val="00966D6B"/>
    <w:rsid w:val="009701EF"/>
    <w:rsid w:val="009706EE"/>
    <w:rsid w:val="00971488"/>
    <w:rsid w:val="0097385C"/>
    <w:rsid w:val="00974BB0"/>
    <w:rsid w:val="009760E9"/>
    <w:rsid w:val="00976C2D"/>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7D9"/>
    <w:rsid w:val="009C2ECD"/>
    <w:rsid w:val="009C47C2"/>
    <w:rsid w:val="009D028B"/>
    <w:rsid w:val="009D66BD"/>
    <w:rsid w:val="009D6B2A"/>
    <w:rsid w:val="009D74EF"/>
    <w:rsid w:val="009D7FBE"/>
    <w:rsid w:val="009E0349"/>
    <w:rsid w:val="009E3D88"/>
    <w:rsid w:val="009F59F4"/>
    <w:rsid w:val="009F5CAD"/>
    <w:rsid w:val="00A01288"/>
    <w:rsid w:val="00A01975"/>
    <w:rsid w:val="00A0427C"/>
    <w:rsid w:val="00A04350"/>
    <w:rsid w:val="00A047EC"/>
    <w:rsid w:val="00A05C3D"/>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2CAB"/>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5B8E"/>
    <w:rsid w:val="00A8736F"/>
    <w:rsid w:val="00A90212"/>
    <w:rsid w:val="00A90217"/>
    <w:rsid w:val="00A9671C"/>
    <w:rsid w:val="00A97620"/>
    <w:rsid w:val="00A9785F"/>
    <w:rsid w:val="00AB29B5"/>
    <w:rsid w:val="00AB2EE3"/>
    <w:rsid w:val="00AB3295"/>
    <w:rsid w:val="00AB471F"/>
    <w:rsid w:val="00AC06C5"/>
    <w:rsid w:val="00AC37EA"/>
    <w:rsid w:val="00AC4E14"/>
    <w:rsid w:val="00AD405B"/>
    <w:rsid w:val="00AE197A"/>
    <w:rsid w:val="00AE326C"/>
    <w:rsid w:val="00AE3AC5"/>
    <w:rsid w:val="00AE6525"/>
    <w:rsid w:val="00AE766D"/>
    <w:rsid w:val="00AF0565"/>
    <w:rsid w:val="00AF140E"/>
    <w:rsid w:val="00AF421D"/>
    <w:rsid w:val="00AF6379"/>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5E3"/>
    <w:rsid w:val="00B406B3"/>
    <w:rsid w:val="00B40BE9"/>
    <w:rsid w:val="00B454FE"/>
    <w:rsid w:val="00B47FD1"/>
    <w:rsid w:val="00B51329"/>
    <w:rsid w:val="00B545CB"/>
    <w:rsid w:val="00B55233"/>
    <w:rsid w:val="00B56657"/>
    <w:rsid w:val="00B66DB4"/>
    <w:rsid w:val="00B679E7"/>
    <w:rsid w:val="00B73B52"/>
    <w:rsid w:val="00B73F7E"/>
    <w:rsid w:val="00B761DE"/>
    <w:rsid w:val="00B77265"/>
    <w:rsid w:val="00B827F5"/>
    <w:rsid w:val="00B83AF8"/>
    <w:rsid w:val="00B8678D"/>
    <w:rsid w:val="00B9054D"/>
    <w:rsid w:val="00B91B42"/>
    <w:rsid w:val="00B91F92"/>
    <w:rsid w:val="00B93159"/>
    <w:rsid w:val="00B95585"/>
    <w:rsid w:val="00BA0E64"/>
    <w:rsid w:val="00BA328B"/>
    <w:rsid w:val="00BA36D9"/>
    <w:rsid w:val="00BA67DA"/>
    <w:rsid w:val="00BB05B8"/>
    <w:rsid w:val="00BB1A94"/>
    <w:rsid w:val="00BB29EF"/>
    <w:rsid w:val="00BB2EFF"/>
    <w:rsid w:val="00BB4655"/>
    <w:rsid w:val="00BC2290"/>
    <w:rsid w:val="00BC6F1F"/>
    <w:rsid w:val="00BC7110"/>
    <w:rsid w:val="00BC776C"/>
    <w:rsid w:val="00BD08FD"/>
    <w:rsid w:val="00BD1A60"/>
    <w:rsid w:val="00BD3B14"/>
    <w:rsid w:val="00BD3CFB"/>
    <w:rsid w:val="00BD499A"/>
    <w:rsid w:val="00BE30D4"/>
    <w:rsid w:val="00BE32D7"/>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3413B"/>
    <w:rsid w:val="00C40A00"/>
    <w:rsid w:val="00C413EE"/>
    <w:rsid w:val="00C443E7"/>
    <w:rsid w:val="00C501FC"/>
    <w:rsid w:val="00C50A08"/>
    <w:rsid w:val="00C52AE4"/>
    <w:rsid w:val="00C549F8"/>
    <w:rsid w:val="00C55236"/>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0677"/>
    <w:rsid w:val="00CC19A5"/>
    <w:rsid w:val="00CC259D"/>
    <w:rsid w:val="00CC290A"/>
    <w:rsid w:val="00CC5DA1"/>
    <w:rsid w:val="00CC7D6C"/>
    <w:rsid w:val="00CD0F34"/>
    <w:rsid w:val="00CD22C0"/>
    <w:rsid w:val="00CD4C7B"/>
    <w:rsid w:val="00CE0837"/>
    <w:rsid w:val="00CE1694"/>
    <w:rsid w:val="00CE2457"/>
    <w:rsid w:val="00CE3432"/>
    <w:rsid w:val="00CE4719"/>
    <w:rsid w:val="00CF1BBA"/>
    <w:rsid w:val="00CF5C1B"/>
    <w:rsid w:val="00D02603"/>
    <w:rsid w:val="00D03599"/>
    <w:rsid w:val="00D03E04"/>
    <w:rsid w:val="00D0674D"/>
    <w:rsid w:val="00D101D2"/>
    <w:rsid w:val="00D17A81"/>
    <w:rsid w:val="00D17E58"/>
    <w:rsid w:val="00D17F0F"/>
    <w:rsid w:val="00D22567"/>
    <w:rsid w:val="00D23D7A"/>
    <w:rsid w:val="00D26071"/>
    <w:rsid w:val="00D3036D"/>
    <w:rsid w:val="00D315A2"/>
    <w:rsid w:val="00D322F2"/>
    <w:rsid w:val="00D342FA"/>
    <w:rsid w:val="00D34400"/>
    <w:rsid w:val="00D347D3"/>
    <w:rsid w:val="00D445BE"/>
    <w:rsid w:val="00D52229"/>
    <w:rsid w:val="00D54DBD"/>
    <w:rsid w:val="00D55AF6"/>
    <w:rsid w:val="00D56178"/>
    <w:rsid w:val="00D57F4F"/>
    <w:rsid w:val="00D62198"/>
    <w:rsid w:val="00D6372B"/>
    <w:rsid w:val="00D643EB"/>
    <w:rsid w:val="00D65C34"/>
    <w:rsid w:val="00D668C5"/>
    <w:rsid w:val="00D70153"/>
    <w:rsid w:val="00D71E84"/>
    <w:rsid w:val="00D7259D"/>
    <w:rsid w:val="00D72D81"/>
    <w:rsid w:val="00D738D6"/>
    <w:rsid w:val="00D743F9"/>
    <w:rsid w:val="00D758C2"/>
    <w:rsid w:val="00D76A22"/>
    <w:rsid w:val="00D77546"/>
    <w:rsid w:val="00D80795"/>
    <w:rsid w:val="00D80C0C"/>
    <w:rsid w:val="00D81A6F"/>
    <w:rsid w:val="00D828C7"/>
    <w:rsid w:val="00D82F01"/>
    <w:rsid w:val="00D86593"/>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2DB0"/>
    <w:rsid w:val="00DD2DCB"/>
    <w:rsid w:val="00DD3B45"/>
    <w:rsid w:val="00DD7E44"/>
    <w:rsid w:val="00DE3BC3"/>
    <w:rsid w:val="00DE5BDD"/>
    <w:rsid w:val="00DE5CE9"/>
    <w:rsid w:val="00DE7E93"/>
    <w:rsid w:val="00DF079D"/>
    <w:rsid w:val="00DF116C"/>
    <w:rsid w:val="00E00045"/>
    <w:rsid w:val="00E07BA1"/>
    <w:rsid w:val="00E10FF5"/>
    <w:rsid w:val="00E1428D"/>
    <w:rsid w:val="00E1514A"/>
    <w:rsid w:val="00E16258"/>
    <w:rsid w:val="00E17486"/>
    <w:rsid w:val="00E201F8"/>
    <w:rsid w:val="00E213EE"/>
    <w:rsid w:val="00E21C7B"/>
    <w:rsid w:val="00E30166"/>
    <w:rsid w:val="00E3176B"/>
    <w:rsid w:val="00E336AA"/>
    <w:rsid w:val="00E36519"/>
    <w:rsid w:val="00E3790D"/>
    <w:rsid w:val="00E401F1"/>
    <w:rsid w:val="00E46CC1"/>
    <w:rsid w:val="00E552E4"/>
    <w:rsid w:val="00E60E08"/>
    <w:rsid w:val="00E62194"/>
    <w:rsid w:val="00E62835"/>
    <w:rsid w:val="00E65F26"/>
    <w:rsid w:val="00E667A2"/>
    <w:rsid w:val="00E71628"/>
    <w:rsid w:val="00E73A9F"/>
    <w:rsid w:val="00E74906"/>
    <w:rsid w:val="00E76366"/>
    <w:rsid w:val="00E7686E"/>
    <w:rsid w:val="00E770C6"/>
    <w:rsid w:val="00E77645"/>
    <w:rsid w:val="00E8071B"/>
    <w:rsid w:val="00E80C9F"/>
    <w:rsid w:val="00E81944"/>
    <w:rsid w:val="00E82C46"/>
    <w:rsid w:val="00E82FA3"/>
    <w:rsid w:val="00E83383"/>
    <w:rsid w:val="00E8446A"/>
    <w:rsid w:val="00E85637"/>
    <w:rsid w:val="00E87B2E"/>
    <w:rsid w:val="00E90A43"/>
    <w:rsid w:val="00E91637"/>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248DF"/>
    <w:rsid w:val="00F24B53"/>
    <w:rsid w:val="00F305D9"/>
    <w:rsid w:val="00F31735"/>
    <w:rsid w:val="00F31947"/>
    <w:rsid w:val="00F32C73"/>
    <w:rsid w:val="00F362F8"/>
    <w:rsid w:val="00F37743"/>
    <w:rsid w:val="00F41CB3"/>
    <w:rsid w:val="00F42DD6"/>
    <w:rsid w:val="00F43193"/>
    <w:rsid w:val="00F4507D"/>
    <w:rsid w:val="00F4671F"/>
    <w:rsid w:val="00F510E3"/>
    <w:rsid w:val="00F51DC9"/>
    <w:rsid w:val="00F52E3A"/>
    <w:rsid w:val="00F54A3D"/>
    <w:rsid w:val="00F55A05"/>
    <w:rsid w:val="00F578C7"/>
    <w:rsid w:val="00F609CF"/>
    <w:rsid w:val="00F6225F"/>
    <w:rsid w:val="00F652E3"/>
    <w:rsid w:val="00F653B8"/>
    <w:rsid w:val="00F67662"/>
    <w:rsid w:val="00F67BF9"/>
    <w:rsid w:val="00F722BE"/>
    <w:rsid w:val="00F73387"/>
    <w:rsid w:val="00F73A9E"/>
    <w:rsid w:val="00F74626"/>
    <w:rsid w:val="00F76F8F"/>
    <w:rsid w:val="00F77899"/>
    <w:rsid w:val="00F81252"/>
    <w:rsid w:val="00F81813"/>
    <w:rsid w:val="00F86F73"/>
    <w:rsid w:val="00F90CB9"/>
    <w:rsid w:val="00F90CF7"/>
    <w:rsid w:val="00F93C5F"/>
    <w:rsid w:val="00F958D2"/>
    <w:rsid w:val="00F96CD4"/>
    <w:rsid w:val="00FA05C0"/>
    <w:rsid w:val="00FA1266"/>
    <w:rsid w:val="00FA3B97"/>
    <w:rsid w:val="00FB1DDF"/>
    <w:rsid w:val="00FB4135"/>
    <w:rsid w:val="00FB4586"/>
    <w:rsid w:val="00FB45E0"/>
    <w:rsid w:val="00FB59B6"/>
    <w:rsid w:val="00FB6FDF"/>
    <w:rsid w:val="00FC1192"/>
    <w:rsid w:val="00FC49E6"/>
    <w:rsid w:val="00FC510F"/>
    <w:rsid w:val="00FC517A"/>
    <w:rsid w:val="00FC6413"/>
    <w:rsid w:val="00FC7626"/>
    <w:rsid w:val="00FD4CC2"/>
    <w:rsid w:val="00FD55C5"/>
    <w:rsid w:val="00FE0D48"/>
    <w:rsid w:val="00FE58AF"/>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83D6-0220-42AC-9BD3-5DAC344AA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917</TotalTime>
  <Pages>7</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14575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LI Dong</cp:lastModifiedBy>
  <cp:revision>54</cp:revision>
  <dcterms:created xsi:type="dcterms:W3CDTF">2017-05-03T13:11:00Z</dcterms:created>
  <dcterms:modified xsi:type="dcterms:W3CDTF">2017-05-05T05:36:00Z</dcterms:modified>
</cp:coreProperties>
</file>